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D477" w14:textId="4176BB57" w:rsidR="00DC12A1" w:rsidRDefault="00BB441B" w:rsidP="00D37D15">
      <w:pPr>
        <w:spacing w:after="0" w:line="240" w:lineRule="auto"/>
        <w:ind w:left="1379" w:right="1008" w:hanging="371"/>
        <w:contextualSpacing/>
        <w:jc w:val="center"/>
        <w:rPr>
          <w:rFonts w:ascii="Cambria" w:eastAsia="Cambria" w:hAnsi="Cambria" w:cs="Cambria"/>
          <w:color w:val="365F91"/>
          <w:sz w:val="44"/>
        </w:rPr>
      </w:pPr>
      <w:r>
        <w:rPr>
          <w:rFonts w:ascii="Cambria" w:eastAsia="Cambria" w:hAnsi="Cambria" w:cs="Cambria"/>
          <w:color w:val="365F91"/>
          <w:sz w:val="44"/>
        </w:rPr>
        <w:t>Annex 4</w:t>
      </w:r>
    </w:p>
    <w:p w14:paraId="2C7BC893" w14:textId="43196CFB" w:rsidR="00DC12A1" w:rsidRDefault="00BB441B" w:rsidP="00D37D15">
      <w:pPr>
        <w:spacing w:after="0" w:line="240" w:lineRule="auto"/>
        <w:ind w:left="1379" w:right="1008" w:hanging="371"/>
        <w:contextualSpacing/>
        <w:jc w:val="center"/>
        <w:rPr>
          <w:rFonts w:ascii="Cambria" w:eastAsia="Cambria" w:hAnsi="Cambria" w:cs="Cambria"/>
          <w:color w:val="365F91"/>
          <w:sz w:val="44"/>
        </w:rPr>
      </w:pPr>
      <w:r>
        <w:rPr>
          <w:rFonts w:ascii="Cambria" w:eastAsia="Cambria" w:hAnsi="Cambria" w:cs="Cambria"/>
          <w:color w:val="365F91"/>
          <w:sz w:val="44"/>
        </w:rPr>
        <w:t>PRODUCT</w:t>
      </w:r>
      <w:r w:rsidR="00FA4FCF">
        <w:rPr>
          <w:rFonts w:ascii="Cambria" w:eastAsia="Cambria" w:hAnsi="Cambria" w:cs="Cambria"/>
          <w:color w:val="365F91"/>
          <w:sz w:val="44"/>
        </w:rPr>
        <w:t xml:space="preserve"> </w:t>
      </w:r>
      <w:r>
        <w:rPr>
          <w:rFonts w:ascii="Cambria" w:eastAsia="Cambria" w:hAnsi="Cambria" w:cs="Cambria"/>
          <w:color w:val="365F91"/>
          <w:sz w:val="44"/>
        </w:rPr>
        <w:t>SPECIFICATIONS</w:t>
      </w:r>
    </w:p>
    <w:p w14:paraId="23CA863F" w14:textId="77777777" w:rsidR="00DC12A1" w:rsidRDefault="00BB441B" w:rsidP="00D37D15">
      <w:pPr>
        <w:spacing w:after="0" w:line="240" w:lineRule="auto"/>
        <w:ind w:left="1379" w:right="1008" w:hanging="371"/>
        <w:contextualSpacing/>
        <w:jc w:val="center"/>
        <w:rPr>
          <w:rFonts w:ascii="Cambria" w:eastAsia="Cambria" w:hAnsi="Cambria" w:cs="Cambria"/>
          <w:color w:val="365F91"/>
          <w:sz w:val="44"/>
        </w:rPr>
      </w:pPr>
      <w:r>
        <w:rPr>
          <w:rFonts w:ascii="Cambria" w:eastAsia="Cambria" w:hAnsi="Cambria" w:cs="Cambria"/>
          <w:color w:val="365F91"/>
          <w:sz w:val="44"/>
        </w:rPr>
        <w:t>AND</w:t>
      </w:r>
    </w:p>
    <w:p w14:paraId="2B8CE65F" w14:textId="77777777" w:rsidR="00DC12A1" w:rsidRDefault="00BB441B" w:rsidP="00D37D15">
      <w:pPr>
        <w:spacing w:after="0" w:line="240" w:lineRule="auto"/>
        <w:ind w:left="1379" w:right="1008" w:hanging="371"/>
        <w:contextualSpacing/>
        <w:jc w:val="center"/>
        <w:rPr>
          <w:rFonts w:ascii="Cambria" w:eastAsia="Cambria" w:hAnsi="Cambria" w:cs="Cambria"/>
          <w:color w:val="365F91"/>
          <w:sz w:val="44"/>
        </w:rPr>
      </w:pPr>
      <w:r>
        <w:rPr>
          <w:rFonts w:ascii="Cambria" w:eastAsia="Cambria" w:hAnsi="Cambria" w:cs="Cambria"/>
          <w:color w:val="365F91"/>
          <w:sz w:val="44"/>
        </w:rPr>
        <w:t>TECHNICAL REQUIREMENTS</w:t>
      </w:r>
    </w:p>
    <w:p w14:paraId="576E88ED" w14:textId="77777777" w:rsidR="00BC08C0" w:rsidRDefault="00BC08C0" w:rsidP="00D37D15">
      <w:pPr>
        <w:spacing w:after="0" w:line="240" w:lineRule="auto"/>
        <w:ind w:left="1956" w:firstLine="204"/>
        <w:contextualSpacing/>
      </w:pPr>
    </w:p>
    <w:p w14:paraId="53278F52" w14:textId="684983D5" w:rsidR="000E0DD4" w:rsidRDefault="131342EE" w:rsidP="131342EE">
      <w:pPr>
        <w:spacing w:after="0" w:line="241" w:lineRule="auto"/>
        <w:ind w:left="0" w:firstLine="0"/>
        <w:jc w:val="center"/>
        <w:rPr>
          <w:rFonts w:ascii="Times New Roman" w:hAnsi="Times New Roman" w:cs="Times New Roman"/>
        </w:rPr>
      </w:pPr>
      <w:r w:rsidRPr="131342EE">
        <w:rPr>
          <w:rFonts w:ascii="Times New Roman" w:eastAsia="Times New Roman" w:hAnsi="Times New Roman" w:cs="Times New Roman"/>
        </w:rPr>
        <w:t xml:space="preserve">THIS DOCUMENT IS TO PROVIDE THE OFFERORS WITH THE PRODUCT(S) SPECIFICATIONS AND TECHNICAL REQUIREMENTS FOR THE PROCUREMENT OF COMMODITIES LISTED IN THE EOI: </w:t>
      </w:r>
    </w:p>
    <w:p w14:paraId="4687D1B3" w14:textId="51D4B61A" w:rsidR="000E0DD4" w:rsidRDefault="131342EE" w:rsidP="131342EE">
      <w:pPr>
        <w:spacing w:after="0" w:line="241" w:lineRule="auto"/>
        <w:ind w:left="0" w:firstLine="0"/>
        <w:jc w:val="center"/>
        <w:rPr>
          <w:rFonts w:ascii="Times New Roman" w:hAnsi="Times New Roman" w:cs="Times New Roman"/>
        </w:rPr>
      </w:pPr>
      <w:r w:rsidRPr="131342EE">
        <w:rPr>
          <w:rFonts w:ascii="Times New Roman" w:hAnsi="Times New Roman" w:cs="Times New Roman"/>
          <w:b/>
          <w:bCs/>
          <w:color w:val="auto"/>
        </w:rPr>
        <w:t>GHSC-PSM-TO2-2019-MALARIA_PHARMACEUTICAL-EOI</w:t>
      </w:r>
    </w:p>
    <w:p w14:paraId="16A03F0E" w14:textId="6C570E79" w:rsidR="131342EE" w:rsidRDefault="131342EE" w:rsidP="131342EE">
      <w:pPr>
        <w:spacing w:after="0" w:line="241" w:lineRule="auto"/>
        <w:ind w:left="0" w:firstLine="0"/>
        <w:jc w:val="center"/>
        <w:rPr>
          <w:rFonts w:ascii="Times New Roman" w:hAnsi="Times New Roman" w:cs="Times New Roman"/>
          <w:b/>
          <w:bCs/>
          <w:color w:val="auto"/>
        </w:rPr>
      </w:pPr>
    </w:p>
    <w:p w14:paraId="4E2BE0A4" w14:textId="5C4FCFD3" w:rsidR="00EC264A" w:rsidRDefault="131342EE" w:rsidP="00114B00">
      <w:pPr>
        <w:pStyle w:val="Heading1"/>
        <w:numPr>
          <w:ilvl w:val="0"/>
          <w:numId w:val="7"/>
        </w:numPr>
        <w:ind w:left="1080" w:hanging="900"/>
      </w:pPr>
      <w:r>
        <w:t xml:space="preserve">Product Specifications </w:t>
      </w:r>
    </w:p>
    <w:p w14:paraId="6DA7A5F9" w14:textId="6FF0664A" w:rsidR="131342EE" w:rsidRDefault="131342EE" w:rsidP="131342EE"/>
    <w:tbl>
      <w:tblPr>
        <w:tblW w:w="9445" w:type="dxa"/>
        <w:tblLook w:val="04A0" w:firstRow="1" w:lastRow="0" w:firstColumn="1" w:lastColumn="0" w:noHBand="0" w:noVBand="1"/>
      </w:tblPr>
      <w:tblGrid>
        <w:gridCol w:w="9445"/>
      </w:tblGrid>
      <w:tr w:rsidR="00FA7FAD" w:rsidRPr="00A34F2C" w14:paraId="32A84165" w14:textId="18A076A2" w:rsidTr="00FA7FAD">
        <w:trPr>
          <w:trHeight w:val="290"/>
        </w:trPr>
        <w:tc>
          <w:tcPr>
            <w:tcW w:w="9445"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14:paraId="55121B25" w14:textId="77777777" w:rsidR="00FA7FAD" w:rsidRPr="00A34F2C" w:rsidRDefault="00FA7FAD" w:rsidP="00A34F2C">
            <w:pPr>
              <w:spacing w:after="0" w:line="240" w:lineRule="auto"/>
              <w:ind w:left="0" w:firstLine="0"/>
              <w:rPr>
                <w:rFonts w:eastAsia="Times New Roman"/>
              </w:rPr>
            </w:pPr>
            <w:r w:rsidRPr="00A34F2C">
              <w:rPr>
                <w:rFonts w:eastAsia="Times New Roman"/>
              </w:rPr>
              <w:t>Artemether/Lumefantrine 20/120 mg Dispersible Tablet, 30 x 6x1 Blister Pack Tablets</w:t>
            </w:r>
          </w:p>
        </w:tc>
      </w:tr>
      <w:tr w:rsidR="00FA7FAD" w:rsidRPr="00A34F2C" w14:paraId="16592446" w14:textId="16969F03"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7BE18931" w14:textId="77777777" w:rsidR="00FA7FAD" w:rsidRPr="00A34F2C" w:rsidRDefault="00FA7FAD" w:rsidP="003770A8">
            <w:pPr>
              <w:spacing w:after="0" w:line="240" w:lineRule="auto"/>
              <w:ind w:left="0" w:firstLine="0"/>
              <w:rPr>
                <w:rFonts w:eastAsia="Times New Roman"/>
              </w:rPr>
            </w:pPr>
            <w:r w:rsidRPr="00A34F2C">
              <w:rPr>
                <w:rFonts w:eastAsia="Times New Roman"/>
              </w:rPr>
              <w:t>Artemether/Lumefantrine 20/120 mg Dispersible Tablet, 30 x 6x2 Blister Pack Tablets</w:t>
            </w:r>
          </w:p>
        </w:tc>
      </w:tr>
      <w:tr w:rsidR="00FA7FAD" w:rsidRPr="00A34F2C" w14:paraId="1DA32F0E" w14:textId="684FFE87"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74D1547D" w14:textId="77777777" w:rsidR="00FA7FAD" w:rsidRPr="00A34F2C" w:rsidRDefault="00FA7FAD" w:rsidP="003770A8">
            <w:pPr>
              <w:spacing w:after="0" w:line="240" w:lineRule="auto"/>
              <w:ind w:left="0" w:firstLine="0"/>
              <w:rPr>
                <w:rFonts w:eastAsia="Times New Roman"/>
              </w:rPr>
            </w:pPr>
            <w:r w:rsidRPr="00A34F2C">
              <w:rPr>
                <w:rFonts w:eastAsia="Times New Roman"/>
              </w:rPr>
              <w:t>Artemether/Lumefantrine 20/120 mg Tablet, 30 x 6x1 Blister Pack Tablets</w:t>
            </w:r>
          </w:p>
        </w:tc>
      </w:tr>
      <w:tr w:rsidR="00FA7FAD" w:rsidRPr="00A34F2C" w14:paraId="7557BE0C" w14:textId="3AE22A6C" w:rsidTr="004C1F22">
        <w:trPr>
          <w:trHeight w:val="316"/>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1850F871" w14:textId="77777777" w:rsidR="00FA7FAD" w:rsidRPr="00A34F2C" w:rsidRDefault="00FA7FAD" w:rsidP="003770A8">
            <w:pPr>
              <w:spacing w:after="0" w:line="240" w:lineRule="auto"/>
              <w:ind w:left="0" w:firstLine="0"/>
              <w:rPr>
                <w:rFonts w:eastAsia="Times New Roman"/>
              </w:rPr>
            </w:pPr>
            <w:r w:rsidRPr="00A34F2C">
              <w:rPr>
                <w:rFonts w:eastAsia="Times New Roman"/>
              </w:rPr>
              <w:t>Artemether/Lumefantrine 20/120 mg Tablet, 30 x 6x2 Blister Pack Tablets</w:t>
            </w:r>
          </w:p>
        </w:tc>
      </w:tr>
      <w:tr w:rsidR="00FA7FAD" w:rsidRPr="00A34F2C" w14:paraId="49121CCE" w14:textId="2969E26B"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4222B8A3" w14:textId="77777777" w:rsidR="00FA7FAD" w:rsidRPr="00A34F2C" w:rsidRDefault="00FA7FAD" w:rsidP="003770A8">
            <w:pPr>
              <w:spacing w:after="0" w:line="240" w:lineRule="auto"/>
              <w:ind w:left="0" w:firstLine="0"/>
              <w:rPr>
                <w:rFonts w:eastAsia="Times New Roman"/>
              </w:rPr>
            </w:pPr>
            <w:r w:rsidRPr="00A34F2C">
              <w:rPr>
                <w:rFonts w:eastAsia="Times New Roman"/>
              </w:rPr>
              <w:t>Artemether/Lumefantrine 20/120 mg Tablet, 30 x 6x3 Blister Pack Tablets</w:t>
            </w:r>
          </w:p>
        </w:tc>
      </w:tr>
      <w:tr w:rsidR="00FA7FAD" w:rsidRPr="00A34F2C" w14:paraId="1B2DDC26" w14:textId="2D7D16C7"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56E7F1A3" w14:textId="77777777" w:rsidR="00FA7FAD" w:rsidRPr="00A34F2C" w:rsidRDefault="00FA7FAD" w:rsidP="003770A8">
            <w:pPr>
              <w:spacing w:after="0" w:line="240" w:lineRule="auto"/>
              <w:ind w:left="0" w:firstLine="0"/>
              <w:rPr>
                <w:rFonts w:eastAsia="Times New Roman"/>
              </w:rPr>
            </w:pPr>
            <w:r w:rsidRPr="00A34F2C">
              <w:rPr>
                <w:rFonts w:eastAsia="Times New Roman"/>
              </w:rPr>
              <w:t>Artemether/Lumefantrine 20/120 mg Tablet, 30 x 6x4 Blister Pack Tablets</w:t>
            </w:r>
          </w:p>
        </w:tc>
      </w:tr>
      <w:tr w:rsidR="00FA7FAD" w:rsidRPr="00A34F2C" w14:paraId="04850E10" w14:textId="602FCE0F"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496360CA" w14:textId="77777777" w:rsidR="00FA7FAD" w:rsidRPr="00A34F2C" w:rsidRDefault="00FA7FAD" w:rsidP="003770A8">
            <w:pPr>
              <w:spacing w:after="0" w:line="240" w:lineRule="auto"/>
              <w:ind w:left="0" w:firstLine="0"/>
              <w:rPr>
                <w:rFonts w:eastAsia="Times New Roman"/>
              </w:rPr>
            </w:pPr>
            <w:r w:rsidRPr="00A34F2C">
              <w:rPr>
                <w:rFonts w:eastAsia="Times New Roman"/>
              </w:rPr>
              <w:t>Artemether/Lumefantrine 80/480 mg Tablet, 1 x 6x1 Blister Pack Tablets</w:t>
            </w:r>
          </w:p>
        </w:tc>
      </w:tr>
      <w:tr w:rsidR="00FA7FAD" w:rsidRPr="00A34F2C" w14:paraId="65AAEBFA" w14:textId="43B9F346"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7F7925C5" w14:textId="77777777" w:rsidR="00FA7FAD" w:rsidRPr="00A34F2C" w:rsidRDefault="00FA7FAD" w:rsidP="003770A8">
            <w:pPr>
              <w:spacing w:after="0" w:line="240" w:lineRule="auto"/>
              <w:ind w:left="0" w:firstLine="0"/>
              <w:rPr>
                <w:rFonts w:eastAsia="Times New Roman"/>
              </w:rPr>
            </w:pPr>
            <w:r w:rsidRPr="00A34F2C">
              <w:rPr>
                <w:rFonts w:eastAsia="Times New Roman"/>
              </w:rPr>
              <w:t>Artesunate/Amodiaquine 100/270 mg Tablet, 25 x 3 Blister Pack Tablets</w:t>
            </w:r>
          </w:p>
        </w:tc>
      </w:tr>
      <w:tr w:rsidR="00FA7FAD" w:rsidRPr="00A34F2C" w14:paraId="4FA20E2A" w14:textId="73933EF2"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692BC7EF" w14:textId="77777777" w:rsidR="00FA7FAD" w:rsidRPr="00A34F2C" w:rsidRDefault="00FA7FAD" w:rsidP="003770A8">
            <w:pPr>
              <w:spacing w:after="0" w:line="240" w:lineRule="auto"/>
              <w:ind w:left="0" w:firstLine="0"/>
              <w:rPr>
                <w:rFonts w:eastAsia="Times New Roman"/>
              </w:rPr>
            </w:pPr>
            <w:r w:rsidRPr="00A34F2C">
              <w:rPr>
                <w:rFonts w:eastAsia="Times New Roman"/>
              </w:rPr>
              <w:t>Artesunate/Amodiaquine 100/270 mg Tablet, 25 x 6 Blister Pack Tablets</w:t>
            </w:r>
          </w:p>
        </w:tc>
      </w:tr>
      <w:tr w:rsidR="00FA7FAD" w:rsidRPr="00A34F2C" w14:paraId="66243398" w14:textId="2A88937B"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17064225" w14:textId="77777777" w:rsidR="00FA7FAD" w:rsidRPr="00A34F2C" w:rsidRDefault="00FA7FAD" w:rsidP="003770A8">
            <w:pPr>
              <w:spacing w:after="0" w:line="240" w:lineRule="auto"/>
              <w:ind w:left="0" w:firstLine="0"/>
              <w:rPr>
                <w:rFonts w:eastAsia="Times New Roman"/>
              </w:rPr>
            </w:pPr>
            <w:r w:rsidRPr="00A34F2C">
              <w:rPr>
                <w:rFonts w:eastAsia="Times New Roman"/>
              </w:rPr>
              <w:t>Artesunate/Amodiaquine 25/67.5 mg Tablet, 25 x 3 Blister Pack Tablets</w:t>
            </w:r>
          </w:p>
        </w:tc>
      </w:tr>
      <w:tr w:rsidR="00FA7FAD" w:rsidRPr="00A34F2C" w14:paraId="3F185E26" w14:textId="4014EF10"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15DC4A3A" w14:textId="77777777" w:rsidR="00FA7FAD" w:rsidRPr="00A34F2C" w:rsidRDefault="00FA7FAD" w:rsidP="003770A8">
            <w:pPr>
              <w:spacing w:after="0" w:line="240" w:lineRule="auto"/>
              <w:ind w:left="0" w:firstLine="0"/>
              <w:rPr>
                <w:rFonts w:eastAsia="Times New Roman"/>
              </w:rPr>
            </w:pPr>
            <w:r w:rsidRPr="00A34F2C">
              <w:rPr>
                <w:rFonts w:eastAsia="Times New Roman"/>
              </w:rPr>
              <w:t>Artesunate/Amodiaquine 50/135 mg Tablet, 25 x 3 Blister Pack Tablets</w:t>
            </w:r>
          </w:p>
        </w:tc>
      </w:tr>
      <w:tr w:rsidR="00FA7FAD" w:rsidRPr="00A34F2C" w14:paraId="5B11985A" w14:textId="37EBAA30"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24E0B1CC" w14:textId="77777777" w:rsidR="00FA7FAD" w:rsidRPr="00A34F2C" w:rsidRDefault="00FA7FAD" w:rsidP="003770A8">
            <w:pPr>
              <w:spacing w:after="0" w:line="240" w:lineRule="auto"/>
              <w:ind w:left="0" w:firstLine="0"/>
              <w:rPr>
                <w:rFonts w:eastAsia="Times New Roman"/>
              </w:rPr>
            </w:pPr>
            <w:r w:rsidRPr="00A34F2C">
              <w:rPr>
                <w:rFonts w:eastAsia="Times New Roman"/>
              </w:rPr>
              <w:t>Artesunate/Mefloquine 100/200 mg Tablet, 3 Tablets</w:t>
            </w:r>
          </w:p>
        </w:tc>
      </w:tr>
      <w:tr w:rsidR="00FA7FAD" w:rsidRPr="00A34F2C" w14:paraId="46F13C3A" w14:textId="5014CCB2"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4D0EAC35" w14:textId="77777777" w:rsidR="00FA7FAD" w:rsidRPr="00A34F2C" w:rsidRDefault="00FA7FAD" w:rsidP="003770A8">
            <w:pPr>
              <w:spacing w:after="0" w:line="240" w:lineRule="auto"/>
              <w:ind w:left="0" w:firstLine="0"/>
              <w:rPr>
                <w:rFonts w:eastAsia="Times New Roman"/>
              </w:rPr>
            </w:pPr>
            <w:r w:rsidRPr="00A34F2C">
              <w:rPr>
                <w:rFonts w:eastAsia="Times New Roman"/>
              </w:rPr>
              <w:t>Artesunate/Mefloquine 100/200 mg Tablet, 6 Tablets</w:t>
            </w:r>
          </w:p>
        </w:tc>
      </w:tr>
      <w:tr w:rsidR="00FA7FAD" w:rsidRPr="00A34F2C" w14:paraId="37C81C92" w14:textId="3811949E"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2FA06825" w14:textId="77777777" w:rsidR="00FA7FAD" w:rsidRPr="00A34F2C" w:rsidRDefault="00FA7FAD" w:rsidP="003770A8">
            <w:pPr>
              <w:spacing w:after="0" w:line="240" w:lineRule="auto"/>
              <w:ind w:left="0" w:firstLine="0"/>
              <w:rPr>
                <w:rFonts w:eastAsia="Times New Roman"/>
              </w:rPr>
            </w:pPr>
            <w:r w:rsidRPr="00A34F2C">
              <w:rPr>
                <w:rFonts w:eastAsia="Times New Roman"/>
              </w:rPr>
              <w:t>Dihydroartemisinin/Piperaquine 20/160 mg Tablet, 3 Blister Pack Tablets</w:t>
            </w:r>
          </w:p>
        </w:tc>
      </w:tr>
      <w:tr w:rsidR="00FA7FAD" w:rsidRPr="00A34F2C" w14:paraId="0CD004CA" w14:textId="4C69E725"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12FCF1AC" w14:textId="77777777" w:rsidR="00FA7FAD" w:rsidRPr="00A34F2C" w:rsidRDefault="00FA7FAD" w:rsidP="003770A8">
            <w:pPr>
              <w:spacing w:after="0" w:line="240" w:lineRule="auto"/>
              <w:ind w:left="0" w:firstLine="0"/>
              <w:rPr>
                <w:rFonts w:eastAsia="Times New Roman"/>
              </w:rPr>
            </w:pPr>
            <w:r w:rsidRPr="00A34F2C">
              <w:rPr>
                <w:rFonts w:eastAsia="Times New Roman"/>
              </w:rPr>
              <w:t>Dihydroartemisinin/Piperaquine 20/160 mg Tablet, 3 Tablets</w:t>
            </w:r>
          </w:p>
        </w:tc>
      </w:tr>
      <w:tr w:rsidR="00FA7FAD" w:rsidRPr="00A34F2C" w14:paraId="7BDDA331" w14:textId="3487001B"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235480CB" w14:textId="77777777" w:rsidR="00FA7FAD" w:rsidRPr="00A34F2C" w:rsidRDefault="00FA7FAD" w:rsidP="003770A8">
            <w:pPr>
              <w:spacing w:after="0" w:line="240" w:lineRule="auto"/>
              <w:ind w:left="0" w:firstLine="0"/>
              <w:rPr>
                <w:rFonts w:eastAsia="Times New Roman"/>
              </w:rPr>
            </w:pPr>
            <w:r w:rsidRPr="00A34F2C">
              <w:rPr>
                <w:rFonts w:eastAsia="Times New Roman"/>
              </w:rPr>
              <w:t>Dihydroartemisinin/Piperaquine 40/320 mg Tablet, 3 Tablets</w:t>
            </w:r>
          </w:p>
        </w:tc>
      </w:tr>
      <w:tr w:rsidR="00FA7FAD" w:rsidRPr="00A34F2C" w14:paraId="727E91E8" w14:textId="07A433F0"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00CA7887" w14:textId="77777777" w:rsidR="00FA7FAD" w:rsidRPr="00A34F2C" w:rsidRDefault="00FA7FAD" w:rsidP="003770A8">
            <w:pPr>
              <w:spacing w:after="0" w:line="240" w:lineRule="auto"/>
              <w:ind w:left="0" w:firstLine="0"/>
              <w:rPr>
                <w:rFonts w:eastAsia="Times New Roman"/>
              </w:rPr>
            </w:pPr>
            <w:r w:rsidRPr="00A34F2C">
              <w:rPr>
                <w:rFonts w:eastAsia="Times New Roman"/>
              </w:rPr>
              <w:t>Dihydroartemisinin/Piperaquine 40/320 mg Tablet, 9 Blister Pack Tablets</w:t>
            </w:r>
          </w:p>
        </w:tc>
      </w:tr>
      <w:tr w:rsidR="00FA7FAD" w:rsidRPr="00A34F2C" w14:paraId="14864739" w14:textId="01988438"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7CB05A54" w14:textId="77777777" w:rsidR="00FA7FAD" w:rsidRPr="00A34F2C" w:rsidRDefault="00FA7FAD" w:rsidP="003770A8">
            <w:pPr>
              <w:spacing w:after="0" w:line="240" w:lineRule="auto"/>
              <w:ind w:left="0" w:firstLine="0"/>
              <w:rPr>
                <w:rFonts w:eastAsia="Times New Roman"/>
              </w:rPr>
            </w:pPr>
            <w:r w:rsidRPr="00A34F2C">
              <w:rPr>
                <w:rFonts w:eastAsia="Times New Roman"/>
              </w:rPr>
              <w:t>Amodiaquine 150 mg + Sulfadoxine/Pyrimethamine 500/25 mg Combo Pack Tablets, 25 x 1 SP + 3 AQ Co-Blister Tablets</w:t>
            </w:r>
          </w:p>
        </w:tc>
      </w:tr>
      <w:tr w:rsidR="00FA7FAD" w:rsidRPr="00A34F2C" w14:paraId="52BE1766" w14:textId="42773EC5"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7E670F2C" w14:textId="77777777" w:rsidR="00FA7FAD" w:rsidRPr="00A34F2C" w:rsidRDefault="00FA7FAD" w:rsidP="003770A8">
            <w:pPr>
              <w:spacing w:after="0" w:line="240" w:lineRule="auto"/>
              <w:ind w:left="0" w:firstLine="0"/>
              <w:rPr>
                <w:rFonts w:eastAsia="Times New Roman"/>
              </w:rPr>
            </w:pPr>
            <w:r w:rsidRPr="00A34F2C">
              <w:rPr>
                <w:rFonts w:eastAsia="Times New Roman"/>
              </w:rPr>
              <w:t>Amodiaquine 150 mg + Sulfadoxine/Pyrimethamine 500/25 mg Dispersible Tablets, 25 x 1 SP + 3 AQ Co-Blister Tablets</w:t>
            </w:r>
          </w:p>
        </w:tc>
      </w:tr>
      <w:tr w:rsidR="00FA7FAD" w:rsidRPr="00A34F2C" w14:paraId="1AF8F17C" w14:textId="2B753206"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61948D2D" w14:textId="77777777" w:rsidR="00FA7FAD" w:rsidRPr="00A34F2C" w:rsidRDefault="00FA7FAD" w:rsidP="003770A8">
            <w:pPr>
              <w:spacing w:after="0" w:line="240" w:lineRule="auto"/>
              <w:ind w:left="0" w:firstLine="0"/>
              <w:rPr>
                <w:rFonts w:eastAsia="Times New Roman"/>
              </w:rPr>
            </w:pPr>
            <w:r w:rsidRPr="00A34F2C">
              <w:rPr>
                <w:rFonts w:eastAsia="Times New Roman"/>
              </w:rPr>
              <w:t>Amodiaquine 150 mg + Sulfadoxine/Pyrimethamine 500/25 mg Dispersible Tablets, 50 x 1 SP + 3 AQ Co-Blister Tablets</w:t>
            </w:r>
          </w:p>
        </w:tc>
      </w:tr>
      <w:tr w:rsidR="00FA7FAD" w:rsidRPr="00A34F2C" w14:paraId="60FD826F" w14:textId="266020B0"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5B54D85E" w14:textId="77777777" w:rsidR="00FA7FAD" w:rsidRPr="00A34F2C" w:rsidRDefault="00FA7FAD" w:rsidP="003770A8">
            <w:pPr>
              <w:spacing w:after="0" w:line="240" w:lineRule="auto"/>
              <w:ind w:left="0" w:firstLine="0"/>
              <w:rPr>
                <w:rFonts w:eastAsia="Times New Roman"/>
              </w:rPr>
            </w:pPr>
            <w:r w:rsidRPr="00A34F2C">
              <w:rPr>
                <w:rFonts w:eastAsia="Times New Roman"/>
              </w:rPr>
              <w:t>Amodiaquine 150 mg Tablet, 1 x 6x1 Blister Pack Tablets</w:t>
            </w:r>
          </w:p>
        </w:tc>
      </w:tr>
      <w:tr w:rsidR="00FA7FAD" w:rsidRPr="00A34F2C" w14:paraId="286BFEED" w14:textId="40F9822F"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7881D8ED" w14:textId="77777777" w:rsidR="00FA7FAD" w:rsidRPr="00A34F2C" w:rsidRDefault="00FA7FAD" w:rsidP="003770A8">
            <w:pPr>
              <w:spacing w:after="0" w:line="240" w:lineRule="auto"/>
              <w:ind w:left="0" w:firstLine="0"/>
              <w:rPr>
                <w:rFonts w:eastAsia="Times New Roman"/>
              </w:rPr>
            </w:pPr>
            <w:r w:rsidRPr="00A34F2C">
              <w:rPr>
                <w:rFonts w:eastAsia="Times New Roman"/>
              </w:rPr>
              <w:t>Amodiaquine 150 mg Tablet, 1 x 6x2 Blister Pack Tablets</w:t>
            </w:r>
          </w:p>
        </w:tc>
      </w:tr>
      <w:tr w:rsidR="00FA7FAD" w:rsidRPr="00A34F2C" w14:paraId="1DFBB83F" w14:textId="7136E213"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521F8344" w14:textId="77777777" w:rsidR="00FA7FAD" w:rsidRPr="00A34F2C" w:rsidRDefault="00FA7FAD" w:rsidP="003770A8">
            <w:pPr>
              <w:spacing w:after="0" w:line="240" w:lineRule="auto"/>
              <w:ind w:left="0" w:firstLine="0"/>
              <w:rPr>
                <w:rFonts w:eastAsia="Times New Roman"/>
              </w:rPr>
            </w:pPr>
            <w:r w:rsidRPr="00A34F2C">
              <w:rPr>
                <w:rFonts w:eastAsia="Times New Roman"/>
              </w:rPr>
              <w:t>Amodiaquine 153 mg + Sulfadoxine/Pyrimethamine 500/25 mg Combo Pack Tablets, 1 x 1 SP + 3 AQ Co-Blister Tablets</w:t>
            </w:r>
          </w:p>
        </w:tc>
      </w:tr>
      <w:tr w:rsidR="00FA7FAD" w:rsidRPr="00A34F2C" w14:paraId="69B656E1" w14:textId="77311A2D"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5CD81BFB" w14:textId="77777777" w:rsidR="00FA7FAD" w:rsidRPr="00A34F2C" w:rsidRDefault="00FA7FAD" w:rsidP="003770A8">
            <w:pPr>
              <w:spacing w:after="0" w:line="240" w:lineRule="auto"/>
              <w:ind w:left="0" w:firstLine="0"/>
              <w:rPr>
                <w:rFonts w:eastAsia="Times New Roman"/>
              </w:rPr>
            </w:pPr>
            <w:r w:rsidRPr="00A34F2C">
              <w:rPr>
                <w:rFonts w:eastAsia="Times New Roman"/>
              </w:rPr>
              <w:t>Amodiaquine 153 mg + Sulfadoxine/Pyrimethamine 500/25 mg Combo Pack Tablets, 50 x 1 SP + 3 AQ Co-Blister Tablets</w:t>
            </w:r>
          </w:p>
        </w:tc>
      </w:tr>
      <w:tr w:rsidR="00FA7FAD" w:rsidRPr="00A34F2C" w14:paraId="300106FC" w14:textId="27B692A3"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132FE8C2" w14:textId="77777777" w:rsidR="00FA7FAD" w:rsidRPr="00A34F2C" w:rsidRDefault="00FA7FAD" w:rsidP="003770A8">
            <w:pPr>
              <w:spacing w:after="0" w:line="240" w:lineRule="auto"/>
              <w:ind w:left="0" w:firstLine="0"/>
              <w:rPr>
                <w:rFonts w:eastAsia="Times New Roman"/>
              </w:rPr>
            </w:pPr>
            <w:r w:rsidRPr="00A34F2C">
              <w:rPr>
                <w:rFonts w:eastAsia="Times New Roman"/>
              </w:rPr>
              <w:t>Amodiaquine 153 mg + Sulfadoxine/Pyrimethamine 500/25 mg Dispersible Tablets, 1 x 1 SP + 3 AQ Co-Blister Tablets</w:t>
            </w:r>
          </w:p>
        </w:tc>
      </w:tr>
      <w:tr w:rsidR="00FA7FAD" w:rsidRPr="00A34F2C" w14:paraId="6B6D2D9E" w14:textId="10932E21"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3275C757" w14:textId="77777777" w:rsidR="00FA7FAD" w:rsidRPr="00A34F2C" w:rsidRDefault="00FA7FAD" w:rsidP="003770A8">
            <w:pPr>
              <w:spacing w:after="0" w:line="240" w:lineRule="auto"/>
              <w:ind w:left="0" w:firstLine="0"/>
              <w:rPr>
                <w:rFonts w:eastAsia="Times New Roman"/>
              </w:rPr>
            </w:pPr>
            <w:r w:rsidRPr="00A34F2C">
              <w:rPr>
                <w:rFonts w:eastAsia="Times New Roman"/>
              </w:rPr>
              <w:lastRenderedPageBreak/>
              <w:t>Amodiaquine 153 mg + Sulfadoxine/Pyrimethamine 500/25 mg Dispersible Tablets, 50 x 1 SP + 3 AQ Co-Blister Tablets</w:t>
            </w:r>
          </w:p>
        </w:tc>
      </w:tr>
      <w:tr w:rsidR="00FA7FAD" w:rsidRPr="00A34F2C" w14:paraId="6DDFA1A8" w14:textId="59688034"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567BFE82" w14:textId="77777777" w:rsidR="00FA7FAD" w:rsidRPr="00A34F2C" w:rsidRDefault="00FA7FAD" w:rsidP="003770A8">
            <w:pPr>
              <w:spacing w:after="0" w:line="240" w:lineRule="auto"/>
              <w:ind w:left="0" w:firstLine="0"/>
              <w:rPr>
                <w:rFonts w:eastAsia="Times New Roman"/>
              </w:rPr>
            </w:pPr>
            <w:r w:rsidRPr="00A34F2C">
              <w:rPr>
                <w:rFonts w:eastAsia="Times New Roman"/>
              </w:rPr>
              <w:t>Amodiaquine 75 mg + Sulfadoxine/Pyrimethamine 250/12.5 mg Combo Pack Tablets, 25 x 1 SP + 3 AQ Co-Blister Tablets</w:t>
            </w:r>
          </w:p>
        </w:tc>
      </w:tr>
      <w:tr w:rsidR="00FA7FAD" w:rsidRPr="00A34F2C" w14:paraId="1EC440C1" w14:textId="6CF9EFC9"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3749A178" w14:textId="77777777" w:rsidR="00FA7FAD" w:rsidRPr="00A34F2C" w:rsidRDefault="00FA7FAD" w:rsidP="003770A8">
            <w:pPr>
              <w:spacing w:after="0" w:line="240" w:lineRule="auto"/>
              <w:ind w:left="0" w:firstLine="0"/>
              <w:rPr>
                <w:rFonts w:eastAsia="Times New Roman"/>
              </w:rPr>
            </w:pPr>
            <w:r w:rsidRPr="00A34F2C">
              <w:rPr>
                <w:rFonts w:eastAsia="Times New Roman"/>
              </w:rPr>
              <w:t>Amodiaquine 75 mg + Sulfadoxine/Pyrimethamine 250/12.5 mg Dispersible Tablets, 25 x 1 SP + 3 AQ Co-Blister Tablets</w:t>
            </w:r>
          </w:p>
        </w:tc>
      </w:tr>
      <w:tr w:rsidR="00FA7FAD" w:rsidRPr="00A34F2C" w14:paraId="71BC9AD4" w14:textId="31A89FA5"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69F4DC84" w14:textId="77777777" w:rsidR="00FA7FAD" w:rsidRPr="00A34F2C" w:rsidRDefault="00FA7FAD" w:rsidP="003770A8">
            <w:pPr>
              <w:spacing w:after="0" w:line="240" w:lineRule="auto"/>
              <w:ind w:left="0" w:firstLine="0"/>
              <w:rPr>
                <w:rFonts w:eastAsia="Times New Roman"/>
              </w:rPr>
            </w:pPr>
            <w:r w:rsidRPr="00A34F2C">
              <w:rPr>
                <w:rFonts w:eastAsia="Times New Roman"/>
              </w:rPr>
              <w:t>Amodiaquine 75 mg + Sulfadoxine/Pyrimethamine 250/12.5 mg Dispersible Tablets, 50 x 1 SP + 3 AQ Co-Blister Tablets</w:t>
            </w:r>
          </w:p>
        </w:tc>
      </w:tr>
      <w:tr w:rsidR="00FA7FAD" w:rsidRPr="00A34F2C" w14:paraId="0CDFB93D" w14:textId="6329F0C4"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6B8C9FEA" w14:textId="77777777" w:rsidR="00FA7FAD" w:rsidRPr="00A34F2C" w:rsidRDefault="00FA7FAD" w:rsidP="003770A8">
            <w:pPr>
              <w:spacing w:after="0" w:line="240" w:lineRule="auto"/>
              <w:ind w:left="0" w:firstLine="0"/>
              <w:rPr>
                <w:rFonts w:eastAsia="Times New Roman"/>
              </w:rPr>
            </w:pPr>
            <w:r w:rsidRPr="00A34F2C">
              <w:rPr>
                <w:rFonts w:eastAsia="Times New Roman"/>
              </w:rPr>
              <w:t>Amodiaquine 76.5 mg + Sulfadoxine/Pyrimethamine 250/12.5 mg Combo Pack Tablets, 1 x 1 SP + 3 AQ Co-Blister Tablets</w:t>
            </w:r>
          </w:p>
        </w:tc>
      </w:tr>
      <w:tr w:rsidR="00FA7FAD" w:rsidRPr="00A34F2C" w14:paraId="00860082" w14:textId="3BA52F82"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7DD21BEB" w14:textId="77777777" w:rsidR="00FA7FAD" w:rsidRPr="00A34F2C" w:rsidRDefault="00FA7FAD" w:rsidP="003770A8">
            <w:pPr>
              <w:spacing w:after="0" w:line="240" w:lineRule="auto"/>
              <w:ind w:left="0" w:firstLine="0"/>
              <w:rPr>
                <w:rFonts w:eastAsia="Times New Roman"/>
              </w:rPr>
            </w:pPr>
            <w:r w:rsidRPr="00A34F2C">
              <w:rPr>
                <w:rFonts w:eastAsia="Times New Roman"/>
              </w:rPr>
              <w:t>Amodiaquine 76.5 mg + Sulfadoxine/Pyrimethamine 250/12.5 mg Combo Pack Tablets, 50 x 1 SP + 3 AQ Co-Blister Tablets</w:t>
            </w:r>
          </w:p>
        </w:tc>
      </w:tr>
      <w:tr w:rsidR="00FA7FAD" w:rsidRPr="00A34F2C" w14:paraId="14557BE5" w14:textId="01F9A367"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2FCE31B3" w14:textId="77777777" w:rsidR="00FA7FAD" w:rsidRPr="00A34F2C" w:rsidRDefault="00FA7FAD" w:rsidP="003770A8">
            <w:pPr>
              <w:spacing w:after="0" w:line="240" w:lineRule="auto"/>
              <w:ind w:left="0" w:firstLine="0"/>
              <w:rPr>
                <w:rFonts w:eastAsia="Times New Roman"/>
              </w:rPr>
            </w:pPr>
            <w:r w:rsidRPr="00A34F2C">
              <w:rPr>
                <w:rFonts w:eastAsia="Times New Roman"/>
              </w:rPr>
              <w:t>Amodiaquine 76.5 mg + Sulfadoxine/Pyrimethamine 250/12.5 mg Dispersible Tablets, 1 x 1 SP + 3 AQ Co-Blister Tablets</w:t>
            </w:r>
          </w:p>
        </w:tc>
      </w:tr>
      <w:tr w:rsidR="00FA7FAD" w:rsidRPr="00A34F2C" w14:paraId="4DB28960" w14:textId="11EBB268"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2E7EB355" w14:textId="77777777" w:rsidR="00FA7FAD" w:rsidRPr="00A34F2C" w:rsidRDefault="00FA7FAD" w:rsidP="003770A8">
            <w:pPr>
              <w:spacing w:after="0" w:line="240" w:lineRule="auto"/>
              <w:ind w:left="0" w:firstLine="0"/>
              <w:rPr>
                <w:rFonts w:eastAsia="Times New Roman"/>
              </w:rPr>
            </w:pPr>
            <w:r w:rsidRPr="00A34F2C">
              <w:rPr>
                <w:rFonts w:eastAsia="Times New Roman"/>
              </w:rPr>
              <w:t>Amodiaquine 76.5 mg + Sulfadoxine/Pyrimethamine 250/12.5 mg Dispersible Tablets, 50 x 1 SP + 3 AQ Co-Blister Tablets</w:t>
            </w:r>
          </w:p>
        </w:tc>
      </w:tr>
      <w:tr w:rsidR="00FA7FAD" w:rsidRPr="00A34F2C" w14:paraId="061DED12" w14:textId="3F889DB2"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554D00A0" w14:textId="77777777" w:rsidR="00FA7FAD" w:rsidRPr="00A34F2C" w:rsidRDefault="00FA7FAD" w:rsidP="003770A8">
            <w:pPr>
              <w:spacing w:after="0" w:line="240" w:lineRule="auto"/>
              <w:ind w:left="0" w:firstLine="0"/>
              <w:rPr>
                <w:rFonts w:eastAsia="Times New Roman"/>
              </w:rPr>
            </w:pPr>
            <w:r w:rsidRPr="00A34F2C">
              <w:rPr>
                <w:rFonts w:eastAsia="Times New Roman"/>
              </w:rPr>
              <w:t>Atovaquone/Proguanil 100/250 mg Tablet, 12 Tablets</w:t>
            </w:r>
          </w:p>
        </w:tc>
      </w:tr>
      <w:tr w:rsidR="00FA7FAD" w:rsidRPr="00A34F2C" w14:paraId="6F2AE62D" w14:textId="069D975A"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451C7114" w14:textId="77777777" w:rsidR="00FA7FAD" w:rsidRPr="00A34F2C" w:rsidRDefault="00FA7FAD" w:rsidP="003770A8">
            <w:pPr>
              <w:spacing w:after="0" w:line="240" w:lineRule="auto"/>
              <w:ind w:left="0" w:firstLine="0"/>
              <w:rPr>
                <w:rFonts w:eastAsia="Times New Roman"/>
              </w:rPr>
            </w:pPr>
            <w:r w:rsidRPr="00A34F2C">
              <w:rPr>
                <w:rFonts w:eastAsia="Times New Roman"/>
              </w:rPr>
              <w:t>Chloroquine Phosphate 250 mg (150 mg base) Tablet, 10 Blister Pack Tablets</w:t>
            </w:r>
          </w:p>
        </w:tc>
      </w:tr>
      <w:tr w:rsidR="00FA7FAD" w:rsidRPr="00A34F2C" w14:paraId="6DD09109" w14:textId="7154E556"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5BCD4B5A" w14:textId="77777777" w:rsidR="00FA7FAD" w:rsidRPr="00A34F2C" w:rsidRDefault="00FA7FAD" w:rsidP="003770A8">
            <w:pPr>
              <w:spacing w:after="0" w:line="240" w:lineRule="auto"/>
              <w:ind w:left="0" w:firstLine="0"/>
              <w:rPr>
                <w:rFonts w:eastAsia="Times New Roman"/>
              </w:rPr>
            </w:pPr>
            <w:r w:rsidRPr="00A34F2C">
              <w:rPr>
                <w:rFonts w:eastAsia="Times New Roman"/>
              </w:rPr>
              <w:t>Chloroquine Phosphate 250 mg (150 mg base) Tablet, 10 x 10 Blister Pack Tablets</w:t>
            </w:r>
          </w:p>
        </w:tc>
      </w:tr>
      <w:tr w:rsidR="00FA7FAD" w:rsidRPr="00A34F2C" w14:paraId="72B64926" w14:textId="7F66E164"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75590233" w14:textId="77777777" w:rsidR="00FA7FAD" w:rsidRPr="00A34F2C" w:rsidRDefault="00FA7FAD" w:rsidP="003770A8">
            <w:pPr>
              <w:spacing w:after="0" w:line="240" w:lineRule="auto"/>
              <w:ind w:left="0" w:firstLine="0"/>
              <w:rPr>
                <w:rFonts w:eastAsia="Times New Roman"/>
              </w:rPr>
            </w:pPr>
            <w:r w:rsidRPr="00A34F2C">
              <w:rPr>
                <w:rFonts w:eastAsia="Times New Roman"/>
              </w:rPr>
              <w:t>Chloroquine Phosphate 250 mg (150 mg base) Tablet, 100 Tablets</w:t>
            </w:r>
          </w:p>
        </w:tc>
      </w:tr>
      <w:tr w:rsidR="00FA7FAD" w:rsidRPr="00A34F2C" w14:paraId="5045BC22" w14:textId="323A6CDA"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562122ED" w14:textId="77777777" w:rsidR="00FA7FAD" w:rsidRPr="00A34F2C" w:rsidRDefault="00FA7FAD" w:rsidP="003770A8">
            <w:pPr>
              <w:spacing w:after="0" w:line="240" w:lineRule="auto"/>
              <w:ind w:left="0" w:firstLine="0"/>
              <w:rPr>
                <w:rFonts w:eastAsia="Times New Roman"/>
              </w:rPr>
            </w:pPr>
            <w:r w:rsidRPr="00A34F2C">
              <w:rPr>
                <w:rFonts w:eastAsia="Times New Roman"/>
              </w:rPr>
              <w:t>Chloroquine Phosphate 250 mg (150 mg base) Tablet, 1000 Tablets</w:t>
            </w:r>
          </w:p>
        </w:tc>
      </w:tr>
      <w:tr w:rsidR="00FA7FAD" w:rsidRPr="00A34F2C" w14:paraId="60D55230" w14:textId="081DC8CC"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1E4F3C9F" w14:textId="77777777" w:rsidR="00FA7FAD" w:rsidRPr="00A34F2C" w:rsidRDefault="00FA7FAD" w:rsidP="003770A8">
            <w:pPr>
              <w:spacing w:after="0" w:line="240" w:lineRule="auto"/>
              <w:ind w:left="0" w:firstLine="0"/>
              <w:rPr>
                <w:rFonts w:eastAsia="Times New Roman"/>
              </w:rPr>
            </w:pPr>
            <w:r w:rsidRPr="00A34F2C">
              <w:rPr>
                <w:rFonts w:eastAsia="Times New Roman"/>
              </w:rPr>
              <w:t>Chloroquine Phosphate 50 mg/5 mL Syrup, 60 mL</w:t>
            </w:r>
          </w:p>
        </w:tc>
      </w:tr>
      <w:tr w:rsidR="00FA7FAD" w:rsidRPr="00A34F2C" w14:paraId="1F70264D" w14:textId="2DF10704"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72BEDEA4" w14:textId="77777777" w:rsidR="00FA7FAD" w:rsidRPr="00A34F2C" w:rsidRDefault="00FA7FAD" w:rsidP="003770A8">
            <w:pPr>
              <w:spacing w:after="0" w:line="240" w:lineRule="auto"/>
              <w:ind w:left="0" w:firstLine="0"/>
              <w:rPr>
                <w:rFonts w:eastAsia="Times New Roman"/>
              </w:rPr>
            </w:pPr>
            <w:r w:rsidRPr="00A34F2C">
              <w:rPr>
                <w:rFonts w:eastAsia="Times New Roman"/>
              </w:rPr>
              <w:t>Primaquine 15 mg Tablet, 100 Tablets</w:t>
            </w:r>
          </w:p>
        </w:tc>
      </w:tr>
      <w:tr w:rsidR="00FA7FAD" w:rsidRPr="00A34F2C" w14:paraId="6451E734" w14:textId="7F68C6FD"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2C7A2107" w14:textId="77777777" w:rsidR="00FA7FAD" w:rsidRPr="00A34F2C" w:rsidRDefault="00FA7FAD" w:rsidP="003770A8">
            <w:pPr>
              <w:spacing w:after="0" w:line="240" w:lineRule="auto"/>
              <w:ind w:left="0" w:firstLine="0"/>
              <w:rPr>
                <w:rFonts w:eastAsia="Times New Roman"/>
              </w:rPr>
            </w:pPr>
            <w:r w:rsidRPr="00A34F2C">
              <w:rPr>
                <w:rFonts w:eastAsia="Times New Roman"/>
              </w:rPr>
              <w:t>Primaquine 15 mg Tablet, 1000 Tablets</w:t>
            </w:r>
          </w:p>
        </w:tc>
      </w:tr>
      <w:tr w:rsidR="00FA7FAD" w:rsidRPr="00A34F2C" w14:paraId="1724873F" w14:textId="0B8F2F0C"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351F91AE" w14:textId="77777777" w:rsidR="00FA7FAD" w:rsidRPr="00A34F2C" w:rsidRDefault="00FA7FAD" w:rsidP="003770A8">
            <w:pPr>
              <w:spacing w:after="0" w:line="240" w:lineRule="auto"/>
              <w:ind w:left="0" w:firstLine="0"/>
              <w:rPr>
                <w:rFonts w:eastAsia="Times New Roman"/>
              </w:rPr>
            </w:pPr>
            <w:r w:rsidRPr="00A34F2C">
              <w:rPr>
                <w:rFonts w:eastAsia="Times New Roman"/>
              </w:rPr>
              <w:t>Primaquine 7.5 mg Tablet, 10 Blister Pack Tablets</w:t>
            </w:r>
          </w:p>
        </w:tc>
      </w:tr>
      <w:tr w:rsidR="00FA7FAD" w:rsidRPr="00A34F2C" w14:paraId="18F64787" w14:textId="3E0E262B"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6F6536DA" w14:textId="77777777" w:rsidR="00FA7FAD" w:rsidRPr="00A34F2C" w:rsidRDefault="00FA7FAD" w:rsidP="003770A8">
            <w:pPr>
              <w:spacing w:after="0" w:line="240" w:lineRule="auto"/>
              <w:ind w:left="0" w:firstLine="0"/>
              <w:rPr>
                <w:rFonts w:eastAsia="Times New Roman"/>
              </w:rPr>
            </w:pPr>
            <w:r w:rsidRPr="00A34F2C">
              <w:rPr>
                <w:rFonts w:eastAsia="Times New Roman"/>
              </w:rPr>
              <w:t>Primaquine 7.5 mg Tablet, 10 x 10 Blister Pack Tablets</w:t>
            </w:r>
          </w:p>
        </w:tc>
      </w:tr>
      <w:tr w:rsidR="00FA7FAD" w:rsidRPr="00A34F2C" w14:paraId="3FA3E46F" w14:textId="142237DE"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3B22C31C" w14:textId="77777777" w:rsidR="00FA7FAD" w:rsidRPr="00A34F2C" w:rsidRDefault="00FA7FAD" w:rsidP="003770A8">
            <w:pPr>
              <w:spacing w:after="0" w:line="240" w:lineRule="auto"/>
              <w:ind w:left="0" w:firstLine="0"/>
              <w:rPr>
                <w:rFonts w:eastAsia="Times New Roman"/>
              </w:rPr>
            </w:pPr>
            <w:r w:rsidRPr="00A34F2C">
              <w:rPr>
                <w:rFonts w:eastAsia="Times New Roman"/>
              </w:rPr>
              <w:t>Primaquine 7.5 mg Tablet, 1000 Tablets</w:t>
            </w:r>
          </w:p>
        </w:tc>
      </w:tr>
      <w:tr w:rsidR="00FA7FAD" w:rsidRPr="00A34F2C" w14:paraId="6991DD26" w14:textId="6EDC6C1B"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0D7F594F" w14:textId="77777777" w:rsidR="00FA7FAD" w:rsidRPr="00A34F2C" w:rsidRDefault="00FA7FAD" w:rsidP="003770A8">
            <w:pPr>
              <w:spacing w:after="0" w:line="240" w:lineRule="auto"/>
              <w:ind w:left="0" w:firstLine="0"/>
              <w:rPr>
                <w:rFonts w:eastAsia="Times New Roman"/>
              </w:rPr>
            </w:pPr>
            <w:r w:rsidRPr="00A34F2C">
              <w:rPr>
                <w:rFonts w:eastAsia="Times New Roman"/>
              </w:rPr>
              <w:t>Quinine Sulfate 200 mg Tablet, 1000 Tablets</w:t>
            </w:r>
          </w:p>
        </w:tc>
      </w:tr>
      <w:tr w:rsidR="00FA7FAD" w:rsidRPr="00A34F2C" w14:paraId="2D46D529" w14:textId="4FC7ACD9"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1BDDF684" w14:textId="77777777" w:rsidR="00FA7FAD" w:rsidRPr="00A34F2C" w:rsidRDefault="00FA7FAD" w:rsidP="003770A8">
            <w:pPr>
              <w:spacing w:after="0" w:line="240" w:lineRule="auto"/>
              <w:ind w:left="0" w:firstLine="0"/>
              <w:rPr>
                <w:rFonts w:eastAsia="Times New Roman"/>
              </w:rPr>
            </w:pPr>
            <w:r w:rsidRPr="00A34F2C">
              <w:rPr>
                <w:rFonts w:eastAsia="Times New Roman"/>
              </w:rPr>
              <w:t>Quinine Sulfate 300 mg Film-Coated Tablet, 100 Blister Pack Tablets</w:t>
            </w:r>
          </w:p>
        </w:tc>
      </w:tr>
      <w:tr w:rsidR="00FA7FAD" w:rsidRPr="00A34F2C" w14:paraId="025FE67A" w14:textId="1A94140A"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116C4A02" w14:textId="77777777" w:rsidR="00FA7FAD" w:rsidRPr="00A34F2C" w:rsidRDefault="00FA7FAD" w:rsidP="003770A8">
            <w:pPr>
              <w:spacing w:after="0" w:line="240" w:lineRule="auto"/>
              <w:ind w:left="0" w:firstLine="0"/>
              <w:rPr>
                <w:rFonts w:eastAsia="Times New Roman"/>
              </w:rPr>
            </w:pPr>
            <w:r w:rsidRPr="00A34F2C">
              <w:rPr>
                <w:rFonts w:eastAsia="Times New Roman"/>
              </w:rPr>
              <w:t>Quinine Sulfate 300 mg Tablet, 10 x 10 Blister Pack Tablets</w:t>
            </w:r>
          </w:p>
        </w:tc>
      </w:tr>
      <w:tr w:rsidR="00FA7FAD" w:rsidRPr="00A34F2C" w14:paraId="53971F79" w14:textId="4164FB5D"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34198F31" w14:textId="77777777" w:rsidR="00FA7FAD" w:rsidRPr="00A34F2C" w:rsidRDefault="00FA7FAD" w:rsidP="003770A8">
            <w:pPr>
              <w:spacing w:after="0" w:line="240" w:lineRule="auto"/>
              <w:ind w:left="0" w:firstLine="0"/>
              <w:rPr>
                <w:rFonts w:eastAsia="Times New Roman"/>
              </w:rPr>
            </w:pPr>
            <w:r w:rsidRPr="00A34F2C">
              <w:rPr>
                <w:rFonts w:eastAsia="Times New Roman"/>
              </w:rPr>
              <w:t>Quinine Sulfate 300 mg Tablet, 1000 Tablets</w:t>
            </w:r>
          </w:p>
        </w:tc>
      </w:tr>
      <w:tr w:rsidR="00FA7FAD" w:rsidRPr="00A34F2C" w14:paraId="6261537B" w14:textId="6D97FF42"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679F392D" w14:textId="77777777" w:rsidR="00FA7FAD" w:rsidRPr="00A34F2C" w:rsidRDefault="00FA7FAD" w:rsidP="003770A8">
            <w:pPr>
              <w:spacing w:after="0" w:line="240" w:lineRule="auto"/>
              <w:ind w:left="0" w:firstLine="0"/>
              <w:rPr>
                <w:rFonts w:eastAsia="Times New Roman"/>
              </w:rPr>
            </w:pPr>
            <w:r w:rsidRPr="00A34F2C">
              <w:rPr>
                <w:rFonts w:eastAsia="Times New Roman"/>
              </w:rPr>
              <w:t>Artemether 20 mg/mL (1 mL) Ampoule, 1 Ampoule</w:t>
            </w:r>
          </w:p>
        </w:tc>
      </w:tr>
      <w:tr w:rsidR="00FA7FAD" w:rsidRPr="00A34F2C" w14:paraId="20215661" w14:textId="59108E19"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4ACC713F" w14:textId="77777777" w:rsidR="00FA7FAD" w:rsidRPr="00A34F2C" w:rsidRDefault="00FA7FAD" w:rsidP="003770A8">
            <w:pPr>
              <w:spacing w:after="0" w:line="240" w:lineRule="auto"/>
              <w:ind w:left="0" w:firstLine="0"/>
              <w:rPr>
                <w:rFonts w:eastAsia="Times New Roman"/>
              </w:rPr>
            </w:pPr>
            <w:r w:rsidRPr="00A34F2C">
              <w:rPr>
                <w:rFonts w:eastAsia="Times New Roman"/>
              </w:rPr>
              <w:t>Artemether 20 mg/mL (1 mL) Ampoule, 30 Ampoules</w:t>
            </w:r>
          </w:p>
        </w:tc>
      </w:tr>
      <w:tr w:rsidR="00FA7FAD" w:rsidRPr="00A34F2C" w14:paraId="02994DE3" w14:textId="737F94D8"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39FB8E92" w14:textId="77777777" w:rsidR="00FA7FAD" w:rsidRPr="00A34F2C" w:rsidRDefault="00FA7FAD" w:rsidP="003770A8">
            <w:pPr>
              <w:spacing w:after="0" w:line="240" w:lineRule="auto"/>
              <w:ind w:left="0" w:firstLine="0"/>
              <w:rPr>
                <w:rFonts w:eastAsia="Times New Roman"/>
              </w:rPr>
            </w:pPr>
            <w:r w:rsidRPr="00A34F2C">
              <w:rPr>
                <w:rFonts w:eastAsia="Times New Roman"/>
              </w:rPr>
              <w:t>Artemether 20 mg/mL (1 mL) Ampoule, 6 Ampoules</w:t>
            </w:r>
          </w:p>
        </w:tc>
      </w:tr>
      <w:tr w:rsidR="00FA7FAD" w:rsidRPr="00A34F2C" w14:paraId="12C99EEA" w14:textId="78A07A06"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4E4D9E95" w14:textId="77777777" w:rsidR="00FA7FAD" w:rsidRPr="00A34F2C" w:rsidRDefault="00FA7FAD" w:rsidP="003770A8">
            <w:pPr>
              <w:spacing w:after="0" w:line="240" w:lineRule="auto"/>
              <w:ind w:left="0" w:firstLine="0"/>
              <w:rPr>
                <w:rFonts w:eastAsia="Times New Roman"/>
              </w:rPr>
            </w:pPr>
            <w:r w:rsidRPr="00A34F2C">
              <w:rPr>
                <w:rFonts w:eastAsia="Times New Roman"/>
              </w:rPr>
              <w:t>Artemether 40 mg/mL (1 mL) Ampoule, 1 Ampoule</w:t>
            </w:r>
          </w:p>
        </w:tc>
      </w:tr>
      <w:tr w:rsidR="00FA7FAD" w:rsidRPr="00A34F2C" w14:paraId="0DFAAEEE" w14:textId="2B3362DF"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5BE226E3" w14:textId="77777777" w:rsidR="00FA7FAD" w:rsidRPr="00A34F2C" w:rsidRDefault="00FA7FAD" w:rsidP="003770A8">
            <w:pPr>
              <w:spacing w:after="0" w:line="240" w:lineRule="auto"/>
              <w:ind w:left="0" w:firstLine="0"/>
              <w:rPr>
                <w:rFonts w:eastAsia="Times New Roman"/>
              </w:rPr>
            </w:pPr>
            <w:r w:rsidRPr="00A34F2C">
              <w:rPr>
                <w:rFonts w:eastAsia="Times New Roman"/>
              </w:rPr>
              <w:t>Artemether 40 mg/mL (1 mL) Ampoule, 30 Ampoules</w:t>
            </w:r>
          </w:p>
        </w:tc>
      </w:tr>
      <w:tr w:rsidR="00FA7FAD" w:rsidRPr="00A34F2C" w14:paraId="08ADE64B" w14:textId="0E018417"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6515997B" w14:textId="77777777" w:rsidR="00FA7FAD" w:rsidRPr="00A34F2C" w:rsidRDefault="00FA7FAD" w:rsidP="003770A8">
            <w:pPr>
              <w:spacing w:after="0" w:line="240" w:lineRule="auto"/>
              <w:ind w:left="0" w:firstLine="0"/>
              <w:rPr>
                <w:rFonts w:eastAsia="Times New Roman"/>
              </w:rPr>
            </w:pPr>
            <w:r w:rsidRPr="00A34F2C">
              <w:rPr>
                <w:rFonts w:eastAsia="Times New Roman"/>
              </w:rPr>
              <w:t>Artemether 40 mg/mL (1 mL) Ampoule, 6 Ampoules</w:t>
            </w:r>
          </w:p>
        </w:tc>
      </w:tr>
      <w:tr w:rsidR="00FA7FAD" w:rsidRPr="00A34F2C" w14:paraId="4E0BCE4B" w14:textId="110E39F7"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12688039" w14:textId="77777777" w:rsidR="00FA7FAD" w:rsidRPr="00A34F2C" w:rsidRDefault="00FA7FAD" w:rsidP="003770A8">
            <w:pPr>
              <w:spacing w:after="0" w:line="240" w:lineRule="auto"/>
              <w:ind w:left="0" w:firstLine="0"/>
              <w:rPr>
                <w:rFonts w:eastAsia="Times New Roman"/>
              </w:rPr>
            </w:pPr>
            <w:r w:rsidRPr="00A34F2C">
              <w:rPr>
                <w:rFonts w:eastAsia="Times New Roman"/>
              </w:rPr>
              <w:t>Artemether 80 mg/mL (1 mL) Ampoule, 1 Ampoule</w:t>
            </w:r>
          </w:p>
        </w:tc>
      </w:tr>
      <w:tr w:rsidR="00FA7FAD" w:rsidRPr="00A34F2C" w14:paraId="35A98145" w14:textId="07A9C642"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35F5E6F1" w14:textId="77777777" w:rsidR="00FA7FAD" w:rsidRPr="00A34F2C" w:rsidRDefault="00FA7FAD" w:rsidP="003770A8">
            <w:pPr>
              <w:spacing w:after="0" w:line="240" w:lineRule="auto"/>
              <w:ind w:left="0" w:firstLine="0"/>
              <w:rPr>
                <w:rFonts w:eastAsia="Times New Roman"/>
              </w:rPr>
            </w:pPr>
            <w:r w:rsidRPr="00A34F2C">
              <w:rPr>
                <w:rFonts w:eastAsia="Times New Roman"/>
              </w:rPr>
              <w:t>Artemether 80 mg/mL (1 mL) Ampoule, 30 Ampoules</w:t>
            </w:r>
          </w:p>
        </w:tc>
      </w:tr>
      <w:tr w:rsidR="00FA7FAD" w:rsidRPr="00A34F2C" w14:paraId="67E45C67" w14:textId="091F566D"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42D1061D" w14:textId="77777777" w:rsidR="00FA7FAD" w:rsidRPr="00A34F2C" w:rsidRDefault="00FA7FAD" w:rsidP="003770A8">
            <w:pPr>
              <w:spacing w:after="0" w:line="240" w:lineRule="auto"/>
              <w:ind w:left="0" w:firstLine="0"/>
              <w:rPr>
                <w:rFonts w:eastAsia="Times New Roman"/>
              </w:rPr>
            </w:pPr>
            <w:r w:rsidRPr="00A34F2C">
              <w:rPr>
                <w:rFonts w:eastAsia="Times New Roman"/>
              </w:rPr>
              <w:t>Artemether 80 mg/mL (1 mL) Ampoule, 6 Ampoules</w:t>
            </w:r>
          </w:p>
        </w:tc>
      </w:tr>
      <w:tr w:rsidR="00FA7FAD" w:rsidRPr="00A34F2C" w14:paraId="76572C0A" w14:textId="5690D839"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3EB9BB67" w14:textId="77777777" w:rsidR="00FA7FAD" w:rsidRPr="00A34F2C" w:rsidRDefault="00FA7FAD" w:rsidP="003770A8">
            <w:pPr>
              <w:spacing w:after="0" w:line="240" w:lineRule="auto"/>
              <w:ind w:left="0" w:firstLine="0"/>
              <w:rPr>
                <w:rFonts w:eastAsia="Times New Roman"/>
              </w:rPr>
            </w:pPr>
            <w:r w:rsidRPr="00A34F2C">
              <w:rPr>
                <w:rFonts w:eastAsia="Times New Roman"/>
              </w:rPr>
              <w:t>Artesunate (w/ 1 Amp NaHCO3 5% + 1 Amp NaCl 0.9% + 2 x 10 mL Syringe) 60 mg Vial, 1 Set</w:t>
            </w:r>
          </w:p>
        </w:tc>
      </w:tr>
      <w:tr w:rsidR="00FA7FAD" w:rsidRPr="00A34F2C" w14:paraId="31410698" w14:textId="46EEA65A"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094182BB" w14:textId="77777777" w:rsidR="00FA7FAD" w:rsidRPr="00A34F2C" w:rsidRDefault="00FA7FAD" w:rsidP="003770A8">
            <w:pPr>
              <w:spacing w:after="0" w:line="240" w:lineRule="auto"/>
              <w:ind w:left="0" w:firstLine="0"/>
              <w:rPr>
                <w:rFonts w:eastAsia="Times New Roman"/>
              </w:rPr>
            </w:pPr>
            <w:r w:rsidRPr="00A34F2C">
              <w:rPr>
                <w:rFonts w:eastAsia="Times New Roman"/>
              </w:rPr>
              <w:t>Artesunate (w/ 1 Amp NaHCO3 5% + 1 Amp NaCl 0.9% + 2 x 5 mL Syringe) 60 mg Vial, 1 Set</w:t>
            </w:r>
          </w:p>
        </w:tc>
      </w:tr>
      <w:tr w:rsidR="00FA7FAD" w:rsidRPr="00A34F2C" w14:paraId="64491353" w14:textId="68306A20"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26A6B3B6" w14:textId="77777777" w:rsidR="00FA7FAD" w:rsidRPr="00A34F2C" w:rsidRDefault="00FA7FAD" w:rsidP="003770A8">
            <w:pPr>
              <w:spacing w:after="0" w:line="240" w:lineRule="auto"/>
              <w:ind w:left="0" w:firstLine="0"/>
              <w:rPr>
                <w:rFonts w:eastAsia="Times New Roman"/>
              </w:rPr>
            </w:pPr>
            <w:r w:rsidRPr="00A34F2C">
              <w:rPr>
                <w:rFonts w:eastAsia="Times New Roman"/>
              </w:rPr>
              <w:t>Artesunate (w/ 1 Amp NaHCO3 5% + 1 Amp NaCl 0.9%) 120 mg Vial, 1 Set</w:t>
            </w:r>
          </w:p>
        </w:tc>
      </w:tr>
      <w:tr w:rsidR="00FA7FAD" w:rsidRPr="00A34F2C" w14:paraId="12C1A4E3" w14:textId="49E75D7F"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6277388F" w14:textId="77777777" w:rsidR="00FA7FAD" w:rsidRPr="00A34F2C" w:rsidRDefault="00FA7FAD" w:rsidP="003770A8">
            <w:pPr>
              <w:spacing w:after="0" w:line="240" w:lineRule="auto"/>
              <w:ind w:left="0" w:firstLine="0"/>
              <w:rPr>
                <w:rFonts w:eastAsia="Times New Roman"/>
              </w:rPr>
            </w:pPr>
            <w:r w:rsidRPr="00A34F2C">
              <w:rPr>
                <w:rFonts w:eastAsia="Times New Roman"/>
              </w:rPr>
              <w:t>Artesunate (w/ 1 Amp NaHCO3 5% + 1 Amp NaCl 0.9%) 30 mg Vial, 1 Set</w:t>
            </w:r>
          </w:p>
        </w:tc>
      </w:tr>
      <w:tr w:rsidR="00FA7FAD" w:rsidRPr="00A34F2C" w14:paraId="773D450A" w14:textId="77342D19"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29DF5143" w14:textId="77777777" w:rsidR="00FA7FAD" w:rsidRPr="00A34F2C" w:rsidRDefault="00FA7FAD" w:rsidP="003770A8">
            <w:pPr>
              <w:spacing w:after="0" w:line="240" w:lineRule="auto"/>
              <w:ind w:left="0" w:firstLine="0"/>
              <w:rPr>
                <w:rFonts w:eastAsia="Times New Roman"/>
              </w:rPr>
            </w:pPr>
            <w:r w:rsidRPr="00A34F2C">
              <w:rPr>
                <w:rFonts w:eastAsia="Times New Roman"/>
              </w:rPr>
              <w:t>Artesunate (w/ 1 Amp NaHCO3 5% + 1 Amp NaCl 0.9%) 60 mg Vial, 1 Set</w:t>
            </w:r>
          </w:p>
        </w:tc>
      </w:tr>
      <w:tr w:rsidR="00FA7FAD" w:rsidRPr="00A34F2C" w14:paraId="68AB3DB4" w14:textId="3D135149"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048E7856" w14:textId="77777777" w:rsidR="00FA7FAD" w:rsidRPr="00A34F2C" w:rsidRDefault="00FA7FAD" w:rsidP="003770A8">
            <w:pPr>
              <w:spacing w:after="0" w:line="240" w:lineRule="auto"/>
              <w:ind w:left="0" w:firstLine="0"/>
              <w:rPr>
                <w:rFonts w:eastAsia="Times New Roman"/>
              </w:rPr>
            </w:pPr>
            <w:r w:rsidRPr="00A34F2C">
              <w:rPr>
                <w:rFonts w:eastAsia="Times New Roman"/>
              </w:rPr>
              <w:t>Artesunate (w/ 1 Amp NaHCO3 5% + 1 Amp NaCl 0.9%) 60 mg Vial, 12 Sets</w:t>
            </w:r>
          </w:p>
        </w:tc>
      </w:tr>
      <w:tr w:rsidR="00FA7FAD" w:rsidRPr="00A34F2C" w14:paraId="0004CD7B" w14:textId="5DE8E1C7"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0C6B00A7" w14:textId="77777777" w:rsidR="00FA7FAD" w:rsidRPr="00A34F2C" w:rsidRDefault="00FA7FAD" w:rsidP="003770A8">
            <w:pPr>
              <w:spacing w:after="0" w:line="240" w:lineRule="auto"/>
              <w:ind w:left="0" w:firstLine="0"/>
              <w:rPr>
                <w:rFonts w:eastAsia="Times New Roman"/>
              </w:rPr>
            </w:pPr>
            <w:r w:rsidRPr="00A34F2C">
              <w:rPr>
                <w:rFonts w:eastAsia="Times New Roman"/>
              </w:rPr>
              <w:t>Artesunate (w/ 1 Amp NaHCO3 5% + 1 Amp NaCl 0.9%) 60 mg Vial, 4 Sets</w:t>
            </w:r>
          </w:p>
        </w:tc>
      </w:tr>
      <w:tr w:rsidR="00FA7FAD" w:rsidRPr="00A34F2C" w14:paraId="1489BCB8" w14:textId="6FE16CC4"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534B8DBF" w14:textId="77777777" w:rsidR="00FA7FAD" w:rsidRPr="00A34F2C" w:rsidRDefault="00FA7FAD" w:rsidP="003770A8">
            <w:pPr>
              <w:spacing w:after="0" w:line="240" w:lineRule="auto"/>
              <w:ind w:left="0" w:firstLine="0"/>
              <w:rPr>
                <w:rFonts w:eastAsia="Times New Roman"/>
              </w:rPr>
            </w:pPr>
            <w:r w:rsidRPr="00A34F2C">
              <w:rPr>
                <w:rFonts w:eastAsia="Times New Roman"/>
              </w:rPr>
              <w:lastRenderedPageBreak/>
              <w:t>Artesunate (w/ 1 Amp NaHCO3 5% + 1 Amp NaCl 0.9%) 60 mg Vial, 6 Sets</w:t>
            </w:r>
          </w:p>
        </w:tc>
      </w:tr>
      <w:tr w:rsidR="00FA7FAD" w:rsidRPr="00A34F2C" w14:paraId="0A61FF2F" w14:textId="70B0478D"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0319A881" w14:textId="77777777" w:rsidR="00FA7FAD" w:rsidRPr="00A34F2C" w:rsidRDefault="00FA7FAD" w:rsidP="003770A8">
            <w:pPr>
              <w:spacing w:after="0" w:line="240" w:lineRule="auto"/>
              <w:ind w:left="0" w:firstLine="0"/>
              <w:rPr>
                <w:rFonts w:eastAsia="Times New Roman"/>
              </w:rPr>
            </w:pPr>
            <w:r w:rsidRPr="00A34F2C">
              <w:rPr>
                <w:rFonts w:eastAsia="Times New Roman"/>
              </w:rPr>
              <w:t>Artesunate 100 mg Suppository, 2 Suppositories</w:t>
            </w:r>
          </w:p>
        </w:tc>
      </w:tr>
      <w:tr w:rsidR="00FA7FAD" w:rsidRPr="00A34F2C" w14:paraId="21CFFA37" w14:textId="57F32DC9"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6C8768E5" w14:textId="77777777" w:rsidR="00FA7FAD" w:rsidRPr="00A34F2C" w:rsidRDefault="00FA7FAD" w:rsidP="003770A8">
            <w:pPr>
              <w:spacing w:after="0" w:line="240" w:lineRule="auto"/>
              <w:ind w:left="0" w:firstLine="0"/>
              <w:rPr>
                <w:rFonts w:eastAsia="Times New Roman"/>
              </w:rPr>
            </w:pPr>
            <w:r w:rsidRPr="00A34F2C">
              <w:rPr>
                <w:rFonts w:eastAsia="Times New Roman"/>
              </w:rPr>
              <w:t>Artesunate 100 mg Suppository, 6 Suppositories</w:t>
            </w:r>
          </w:p>
        </w:tc>
      </w:tr>
      <w:tr w:rsidR="00FA7FAD" w:rsidRPr="00A34F2C" w14:paraId="301FFA58" w14:textId="3C9DFDDB"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42BEE33A" w14:textId="77777777" w:rsidR="00FA7FAD" w:rsidRPr="00A34F2C" w:rsidRDefault="00FA7FAD" w:rsidP="003770A8">
            <w:pPr>
              <w:spacing w:after="0" w:line="240" w:lineRule="auto"/>
              <w:ind w:left="0" w:firstLine="0"/>
              <w:rPr>
                <w:rFonts w:eastAsia="Times New Roman"/>
              </w:rPr>
            </w:pPr>
            <w:r w:rsidRPr="00A34F2C">
              <w:rPr>
                <w:rFonts w:eastAsia="Times New Roman"/>
              </w:rPr>
              <w:t>Artesunate 200 mg Suppository, 6 Suppositories</w:t>
            </w:r>
          </w:p>
        </w:tc>
      </w:tr>
      <w:tr w:rsidR="00FA7FAD" w:rsidRPr="00A34F2C" w14:paraId="386E4ADC" w14:textId="5E883AEB"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55D3C661" w14:textId="77777777" w:rsidR="00FA7FAD" w:rsidRPr="00A34F2C" w:rsidRDefault="00FA7FAD" w:rsidP="003770A8">
            <w:pPr>
              <w:spacing w:after="0" w:line="240" w:lineRule="auto"/>
              <w:ind w:left="0" w:firstLine="0"/>
              <w:rPr>
                <w:rFonts w:eastAsia="Times New Roman"/>
              </w:rPr>
            </w:pPr>
            <w:r w:rsidRPr="00A34F2C">
              <w:rPr>
                <w:rFonts w:eastAsia="Times New Roman"/>
              </w:rPr>
              <w:t>Artesunate 50 mg Suppository, 6 Suppositories</w:t>
            </w:r>
          </w:p>
        </w:tc>
      </w:tr>
      <w:tr w:rsidR="00FA7FAD" w:rsidRPr="00A34F2C" w14:paraId="3765A4A7" w14:textId="1438E63D"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7A3AA8AB" w14:textId="77777777" w:rsidR="00FA7FAD" w:rsidRPr="00A34F2C" w:rsidRDefault="00FA7FAD" w:rsidP="003770A8">
            <w:pPr>
              <w:spacing w:after="0" w:line="240" w:lineRule="auto"/>
              <w:ind w:left="0" w:firstLine="0"/>
              <w:rPr>
                <w:rFonts w:eastAsia="Times New Roman"/>
              </w:rPr>
            </w:pPr>
            <w:r w:rsidRPr="00A34F2C">
              <w:rPr>
                <w:rFonts w:eastAsia="Times New Roman"/>
              </w:rPr>
              <w:t>Quinine Dihydrochloride 200 mg/2 mL Ampoule, 100 Ampoules</w:t>
            </w:r>
          </w:p>
        </w:tc>
      </w:tr>
      <w:tr w:rsidR="00FA7FAD" w:rsidRPr="00A34F2C" w14:paraId="7B637823" w14:textId="4CA994B0"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516A704F" w14:textId="77777777" w:rsidR="00FA7FAD" w:rsidRPr="00A34F2C" w:rsidRDefault="00FA7FAD" w:rsidP="003770A8">
            <w:pPr>
              <w:spacing w:after="0" w:line="240" w:lineRule="auto"/>
              <w:ind w:left="0" w:firstLine="0"/>
              <w:rPr>
                <w:rFonts w:eastAsia="Times New Roman"/>
              </w:rPr>
            </w:pPr>
            <w:r w:rsidRPr="00A34F2C">
              <w:rPr>
                <w:rFonts w:eastAsia="Times New Roman"/>
              </w:rPr>
              <w:t>Quinine Dihydrochloride 600 mg/2 mL Ampoule, 10 Ampoules</w:t>
            </w:r>
          </w:p>
        </w:tc>
      </w:tr>
      <w:tr w:rsidR="00FA7FAD" w:rsidRPr="00A34F2C" w14:paraId="7EBB86DB" w14:textId="49C3C0C8"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3204D711" w14:textId="77777777" w:rsidR="00FA7FAD" w:rsidRPr="00A34F2C" w:rsidRDefault="00FA7FAD" w:rsidP="003770A8">
            <w:pPr>
              <w:spacing w:after="0" w:line="240" w:lineRule="auto"/>
              <w:ind w:left="0" w:firstLine="0"/>
              <w:rPr>
                <w:rFonts w:eastAsia="Times New Roman"/>
              </w:rPr>
            </w:pPr>
            <w:r w:rsidRPr="00A34F2C">
              <w:rPr>
                <w:rFonts w:eastAsia="Times New Roman"/>
              </w:rPr>
              <w:t>Quinine Dihydrochloride 600 mg/2 mL Ampoule, 100 Ampoules</w:t>
            </w:r>
          </w:p>
        </w:tc>
      </w:tr>
      <w:tr w:rsidR="00FA7FAD" w:rsidRPr="00A34F2C" w14:paraId="34BD107D" w14:textId="0CAEBCA8"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7B317E09" w14:textId="77777777" w:rsidR="00FA7FAD" w:rsidRPr="00A34F2C" w:rsidRDefault="00FA7FAD" w:rsidP="003770A8">
            <w:pPr>
              <w:spacing w:after="0" w:line="240" w:lineRule="auto"/>
              <w:ind w:left="0" w:firstLine="0"/>
              <w:rPr>
                <w:rFonts w:eastAsia="Times New Roman"/>
              </w:rPr>
            </w:pPr>
            <w:r w:rsidRPr="00A34F2C">
              <w:rPr>
                <w:rFonts w:eastAsia="Times New Roman"/>
              </w:rPr>
              <w:t>Quinine-</w:t>
            </w:r>
            <w:proofErr w:type="spellStart"/>
            <w:r w:rsidRPr="00A34F2C">
              <w:rPr>
                <w:rFonts w:eastAsia="Times New Roman"/>
              </w:rPr>
              <w:t>Resorcine</w:t>
            </w:r>
            <w:proofErr w:type="spellEnd"/>
            <w:r w:rsidRPr="00A34F2C">
              <w:rPr>
                <w:rFonts w:eastAsia="Times New Roman"/>
              </w:rPr>
              <w:t xml:space="preserve"> Dihydrochloride 200 mg/2 mL Ampoule, 6 Ampoules</w:t>
            </w:r>
          </w:p>
        </w:tc>
      </w:tr>
      <w:tr w:rsidR="00FA7FAD" w:rsidRPr="00A34F2C" w14:paraId="0FD5BD9E" w14:textId="5DD0440E"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542E5091" w14:textId="77777777" w:rsidR="00FA7FAD" w:rsidRPr="00A34F2C" w:rsidRDefault="00FA7FAD" w:rsidP="003770A8">
            <w:pPr>
              <w:spacing w:after="0" w:line="240" w:lineRule="auto"/>
              <w:ind w:left="0" w:firstLine="0"/>
              <w:rPr>
                <w:rFonts w:eastAsia="Times New Roman"/>
              </w:rPr>
            </w:pPr>
            <w:r w:rsidRPr="00A34F2C">
              <w:rPr>
                <w:rFonts w:eastAsia="Times New Roman"/>
              </w:rPr>
              <w:t>Quinine-</w:t>
            </w:r>
            <w:proofErr w:type="spellStart"/>
            <w:r w:rsidRPr="00A34F2C">
              <w:rPr>
                <w:rFonts w:eastAsia="Times New Roman"/>
              </w:rPr>
              <w:t>Resorcine</w:t>
            </w:r>
            <w:proofErr w:type="spellEnd"/>
            <w:r w:rsidRPr="00A34F2C">
              <w:rPr>
                <w:rFonts w:eastAsia="Times New Roman"/>
              </w:rPr>
              <w:t xml:space="preserve"> Dihydrochloride 400 mg/4 mL Ampoule, 6 Ampoules</w:t>
            </w:r>
          </w:p>
        </w:tc>
      </w:tr>
      <w:tr w:rsidR="00FA7FAD" w:rsidRPr="00A34F2C" w14:paraId="1FA8BDE4" w14:textId="569A4EC8"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15D8224E" w14:textId="77777777" w:rsidR="00FA7FAD" w:rsidRPr="00A34F2C" w:rsidRDefault="00FA7FAD" w:rsidP="003770A8">
            <w:pPr>
              <w:spacing w:after="0" w:line="240" w:lineRule="auto"/>
              <w:ind w:left="0" w:firstLine="0"/>
              <w:rPr>
                <w:rFonts w:eastAsia="Times New Roman"/>
              </w:rPr>
            </w:pPr>
            <w:r w:rsidRPr="00A34F2C">
              <w:rPr>
                <w:rFonts w:eastAsia="Times New Roman"/>
              </w:rPr>
              <w:t>Sulfadoxine/Pyrimethamine 500/25 mg Tablet, 10 x 3 Blister Pack Tablets</w:t>
            </w:r>
          </w:p>
        </w:tc>
      </w:tr>
      <w:tr w:rsidR="00FA7FAD" w:rsidRPr="00A34F2C" w14:paraId="61EA8F13" w14:textId="1C40DA49"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2789861B" w14:textId="77777777" w:rsidR="00FA7FAD" w:rsidRPr="00A34F2C" w:rsidRDefault="00FA7FAD" w:rsidP="003770A8">
            <w:pPr>
              <w:spacing w:after="0" w:line="240" w:lineRule="auto"/>
              <w:ind w:left="0" w:firstLine="0"/>
              <w:rPr>
                <w:rFonts w:eastAsia="Times New Roman"/>
              </w:rPr>
            </w:pPr>
            <w:r w:rsidRPr="00A34F2C">
              <w:rPr>
                <w:rFonts w:eastAsia="Times New Roman"/>
              </w:rPr>
              <w:t>Sulfadoxine/Pyrimethamine 500/25 mg Tablet, 100 Tablets</w:t>
            </w:r>
          </w:p>
        </w:tc>
      </w:tr>
      <w:tr w:rsidR="00FA7FAD" w:rsidRPr="00A34F2C" w14:paraId="0616CCE2" w14:textId="4CC67F1C"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7E7FC0DD" w14:textId="77777777" w:rsidR="00FA7FAD" w:rsidRPr="00A34F2C" w:rsidRDefault="00FA7FAD" w:rsidP="003770A8">
            <w:pPr>
              <w:spacing w:after="0" w:line="240" w:lineRule="auto"/>
              <w:ind w:left="0" w:firstLine="0"/>
              <w:rPr>
                <w:rFonts w:eastAsia="Times New Roman"/>
              </w:rPr>
            </w:pPr>
            <w:r w:rsidRPr="00A34F2C">
              <w:rPr>
                <w:rFonts w:eastAsia="Times New Roman"/>
              </w:rPr>
              <w:t>Sulfadoxine/Pyrimethamine 500/25 mg Tablet, 1000 Tablets</w:t>
            </w:r>
          </w:p>
        </w:tc>
      </w:tr>
      <w:tr w:rsidR="00FA7FAD" w:rsidRPr="00A34F2C" w14:paraId="35AB51B7" w14:textId="10952486"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33BEB17A" w14:textId="77777777" w:rsidR="00FA7FAD" w:rsidRPr="00A34F2C" w:rsidRDefault="00FA7FAD" w:rsidP="003770A8">
            <w:pPr>
              <w:spacing w:after="0" w:line="240" w:lineRule="auto"/>
              <w:ind w:left="0" w:firstLine="0"/>
              <w:rPr>
                <w:rFonts w:eastAsia="Times New Roman"/>
              </w:rPr>
            </w:pPr>
            <w:r w:rsidRPr="00A34F2C">
              <w:rPr>
                <w:rFonts w:eastAsia="Times New Roman"/>
              </w:rPr>
              <w:t>Sulfadoxine/Pyrimethamine 500/25 mg Tablet, 150 Tablets</w:t>
            </w:r>
          </w:p>
        </w:tc>
      </w:tr>
      <w:tr w:rsidR="00FA7FAD" w:rsidRPr="00A34F2C" w14:paraId="7CFE8A08" w14:textId="73711969"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086A9C65" w14:textId="77777777" w:rsidR="00FA7FAD" w:rsidRPr="00A34F2C" w:rsidRDefault="00FA7FAD" w:rsidP="003770A8">
            <w:pPr>
              <w:spacing w:after="0" w:line="240" w:lineRule="auto"/>
              <w:ind w:left="0" w:firstLine="0"/>
              <w:rPr>
                <w:rFonts w:eastAsia="Times New Roman"/>
              </w:rPr>
            </w:pPr>
            <w:r w:rsidRPr="00A34F2C">
              <w:rPr>
                <w:rFonts w:eastAsia="Times New Roman"/>
              </w:rPr>
              <w:t>Sulfadoxine/Pyrimethamine 500/25 mg Tablet, 300 Tablets</w:t>
            </w:r>
          </w:p>
        </w:tc>
      </w:tr>
      <w:tr w:rsidR="00FA7FAD" w:rsidRPr="00A34F2C" w14:paraId="0FB8EE3C" w14:textId="04FBBC20" w:rsidTr="00FA7FAD">
        <w:trPr>
          <w:trHeight w:val="290"/>
        </w:trPr>
        <w:tc>
          <w:tcPr>
            <w:tcW w:w="9445" w:type="dxa"/>
            <w:tcBorders>
              <w:top w:val="nil"/>
              <w:left w:val="single" w:sz="4" w:space="0" w:color="C0C0C0"/>
              <w:bottom w:val="single" w:sz="4" w:space="0" w:color="C0C0C0"/>
              <w:right w:val="single" w:sz="4" w:space="0" w:color="C0C0C0"/>
            </w:tcBorders>
            <w:shd w:val="clear" w:color="auto" w:fill="auto"/>
            <w:noWrap/>
            <w:vAlign w:val="bottom"/>
            <w:hideMark/>
          </w:tcPr>
          <w:p w14:paraId="4C024FB7" w14:textId="77777777" w:rsidR="00FA7FAD" w:rsidRPr="00A34F2C" w:rsidRDefault="00FA7FAD" w:rsidP="003770A8">
            <w:pPr>
              <w:spacing w:after="0" w:line="240" w:lineRule="auto"/>
              <w:ind w:left="0" w:firstLine="0"/>
              <w:rPr>
                <w:rFonts w:eastAsia="Times New Roman"/>
              </w:rPr>
            </w:pPr>
            <w:r w:rsidRPr="00A34F2C">
              <w:rPr>
                <w:rFonts w:eastAsia="Times New Roman"/>
              </w:rPr>
              <w:t>Sulfadoxine/Pyrimethamine 500/25 mg Tablet, 50 x 3 Blister Pack Tablets</w:t>
            </w:r>
          </w:p>
        </w:tc>
      </w:tr>
    </w:tbl>
    <w:p w14:paraId="57F6586E" w14:textId="77777777" w:rsidR="00F27084" w:rsidRDefault="00F27084">
      <w:pPr>
        <w:pStyle w:val="Heading1"/>
        <w:ind w:left="807"/>
        <w:rPr>
          <w:rFonts w:ascii="Calibri" w:eastAsia="Calibri" w:hAnsi="Calibri" w:cs="Calibri"/>
          <w:color w:val="000000"/>
          <w:sz w:val="22"/>
        </w:rPr>
      </w:pPr>
    </w:p>
    <w:p w14:paraId="29F150DD" w14:textId="65E33846" w:rsidR="00DC12A1" w:rsidRDefault="00BB441B" w:rsidP="00114B00">
      <w:pPr>
        <w:pStyle w:val="Heading1"/>
        <w:numPr>
          <w:ilvl w:val="0"/>
          <w:numId w:val="7"/>
        </w:numPr>
        <w:ind w:left="1080" w:hanging="900"/>
      </w:pPr>
      <w:r>
        <w:t xml:space="preserve">Conformity with Quality and Products Standards  </w:t>
      </w:r>
    </w:p>
    <w:p w14:paraId="29B7E882" w14:textId="0D4487FF" w:rsidR="00DC12A1" w:rsidRDefault="00DC12A1" w:rsidP="00D653FF">
      <w:pPr>
        <w:spacing w:after="19" w:line="259" w:lineRule="auto"/>
        <w:ind w:left="0" w:firstLine="0"/>
        <w:rPr>
          <w:rFonts w:ascii="Times New Roman" w:eastAsia="Times New Roman" w:hAnsi="Times New Roman" w:cs="Times New Roman"/>
        </w:rPr>
      </w:pPr>
    </w:p>
    <w:p w14:paraId="1921E707" w14:textId="43016FCE" w:rsidR="00D653FF" w:rsidRDefault="00D653FF" w:rsidP="00D653FF">
      <w:pPr>
        <w:spacing w:after="19" w:line="259" w:lineRule="auto"/>
        <w:ind w:left="720" w:firstLine="0"/>
      </w:pPr>
      <w:r>
        <w:t xml:space="preserve">For every product (and related manufacturing site) listed in your proposal, please supply the proper evidence of the following: </w:t>
      </w:r>
    </w:p>
    <w:p w14:paraId="292B03BC" w14:textId="77777777" w:rsidR="00D653FF" w:rsidRDefault="00D653FF" w:rsidP="00D653FF">
      <w:pPr>
        <w:spacing w:after="19" w:line="259" w:lineRule="auto"/>
        <w:ind w:left="720" w:firstLine="0"/>
      </w:pPr>
    </w:p>
    <w:p w14:paraId="372DD101" w14:textId="77777777" w:rsidR="005C79CD" w:rsidRDefault="00BB441B" w:rsidP="00867205">
      <w:pPr>
        <w:numPr>
          <w:ilvl w:val="0"/>
          <w:numId w:val="1"/>
        </w:numPr>
        <w:spacing w:after="0"/>
        <w:ind w:hanging="360"/>
      </w:pPr>
      <w:r>
        <w:t>The product offered must be approved or authorized for use by a str</w:t>
      </w:r>
      <w:r w:rsidR="002F1A6D">
        <w:t>ingent regulatory authority (SRA</w:t>
      </w:r>
      <w:r w:rsidR="002F1A6D">
        <w:rPr>
          <w:rStyle w:val="FootnoteReference"/>
        </w:rPr>
        <w:footnoteReference w:id="2"/>
      </w:r>
      <w:r>
        <w:t>)</w:t>
      </w:r>
      <w:r w:rsidR="005B431F">
        <w:t>; a</w:t>
      </w:r>
      <w:r>
        <w:t xml:space="preserve">nd/or </w:t>
      </w:r>
    </w:p>
    <w:p w14:paraId="7380C523" w14:textId="3658359B" w:rsidR="005C79CD" w:rsidRPr="00081DDE" w:rsidRDefault="005C79CD" w:rsidP="00867205">
      <w:pPr>
        <w:numPr>
          <w:ilvl w:val="0"/>
          <w:numId w:val="1"/>
        </w:numPr>
        <w:spacing w:after="0"/>
        <w:ind w:hanging="360"/>
        <w:rPr>
          <w:rFonts w:asciiTheme="minorHAnsi" w:hAnsiTheme="minorHAnsi" w:cstheme="minorHAnsi"/>
        </w:rPr>
      </w:pPr>
      <w:r w:rsidRPr="00081DDE">
        <w:rPr>
          <w:rFonts w:asciiTheme="minorHAnsi" w:eastAsia="Times New Roman" w:hAnsiTheme="minorHAnsi" w:cstheme="minorHAnsi"/>
        </w:rPr>
        <w:t xml:space="preserve">WHO pre-qualification </w:t>
      </w:r>
      <w:r w:rsidR="00081DDE">
        <w:rPr>
          <w:rFonts w:asciiTheme="minorHAnsi" w:eastAsia="Times New Roman" w:hAnsiTheme="minorHAnsi" w:cstheme="minorHAnsi"/>
        </w:rPr>
        <w:t>is</w:t>
      </w:r>
      <w:r w:rsidRPr="00081DDE">
        <w:rPr>
          <w:rFonts w:asciiTheme="minorHAnsi" w:eastAsia="Times New Roman" w:hAnsiTheme="minorHAnsi" w:cstheme="minorHAnsi"/>
        </w:rPr>
        <w:t xml:space="preserve"> required. </w:t>
      </w:r>
    </w:p>
    <w:p w14:paraId="61B4CB1B" w14:textId="73B7F6B7" w:rsidR="00DC12A1" w:rsidRDefault="00BB441B" w:rsidP="00867205">
      <w:pPr>
        <w:numPr>
          <w:ilvl w:val="0"/>
          <w:numId w:val="1"/>
        </w:numPr>
        <w:spacing w:after="0"/>
        <w:ind w:hanging="360"/>
      </w:pPr>
      <w:r>
        <w:t>Proof of registration</w:t>
      </w:r>
      <w:r w:rsidR="00D653FF">
        <w:t xml:space="preserve"> </w:t>
      </w:r>
      <w:r>
        <w:t xml:space="preserve">of the offered pharmaceutical product(s) in (Country) (if applicable) </w:t>
      </w:r>
    </w:p>
    <w:p w14:paraId="6FE0B01C" w14:textId="6EF30B64" w:rsidR="00DC12A1" w:rsidRDefault="00DC12A1" w:rsidP="00081DDE">
      <w:pPr>
        <w:spacing w:after="0" w:line="259" w:lineRule="auto"/>
        <w:ind w:left="1532" w:firstLine="0"/>
      </w:pPr>
    </w:p>
    <w:p w14:paraId="6C8F53F7" w14:textId="35BBA5EE" w:rsidR="00DC12A1" w:rsidRDefault="00BB441B" w:rsidP="00114B00">
      <w:pPr>
        <w:pStyle w:val="Heading1"/>
        <w:numPr>
          <w:ilvl w:val="0"/>
          <w:numId w:val="7"/>
        </w:numPr>
        <w:ind w:left="1080" w:hanging="900"/>
      </w:pPr>
      <w:r>
        <w:t xml:space="preserve">Quality Assurance Provision  </w:t>
      </w:r>
    </w:p>
    <w:p w14:paraId="51952E3B" w14:textId="2B1B2767" w:rsidR="00DC12A1" w:rsidRPr="006946AB" w:rsidRDefault="00BB441B">
      <w:pPr>
        <w:spacing w:after="204"/>
        <w:ind w:left="807"/>
        <w:rPr>
          <w:color w:val="FF0000"/>
        </w:rPr>
      </w:pPr>
      <w:r>
        <w:t xml:space="preserve">According to Annex 1 </w:t>
      </w:r>
      <w:r w:rsidR="00766125">
        <w:t>–</w:t>
      </w:r>
      <w:r>
        <w:t xml:space="preserve"> </w:t>
      </w:r>
      <w:r w:rsidR="00A735E6">
        <w:t>PSM</w:t>
      </w:r>
      <w:r w:rsidR="00766125">
        <w:t xml:space="preserve"> </w:t>
      </w:r>
      <w:r>
        <w:t>General Terms and Conditions</w:t>
      </w:r>
      <w:r w:rsidRPr="006946AB">
        <w:rPr>
          <w:color w:val="FF0000"/>
        </w:rPr>
        <w:t xml:space="preserve"> </w:t>
      </w:r>
    </w:p>
    <w:p w14:paraId="09E9B685" w14:textId="77777777" w:rsidR="00F710DF" w:rsidRDefault="00BB441B" w:rsidP="004034DC">
      <w:pPr>
        <w:spacing w:line="269" w:lineRule="auto"/>
        <w:ind w:left="806" w:hanging="14"/>
      </w:pPr>
      <w:r>
        <w:t>The vendor shall coordinate with GHSC-PSM’s Quality Assurance (QA) contractor, SGS, who will implement sampling, QA testing and acceptance within the terms and conditions outlined below.</w:t>
      </w:r>
    </w:p>
    <w:p w14:paraId="631B5EE1" w14:textId="5830923D" w:rsidR="00DC12A1" w:rsidRDefault="00F710DF" w:rsidP="004034DC">
      <w:pPr>
        <w:spacing w:line="269" w:lineRule="auto"/>
        <w:ind w:left="806" w:hanging="14"/>
      </w:pPr>
      <w:r>
        <w:lastRenderedPageBreak/>
        <w:t xml:space="preserve">For products containing artemisinin, suppliers will be asked to provide evidence of compliance with </w:t>
      </w:r>
      <w:r w:rsidR="004D6A98">
        <w:t>artemisinin sourcing requirements</w:t>
      </w:r>
      <w:r w:rsidR="004D6A98" w:rsidRPr="00FA4FCF">
        <w:rPr>
          <w:color w:val="auto"/>
        </w:rPr>
        <w:t xml:space="preserve"> as outlined in </w:t>
      </w:r>
      <w:r w:rsidR="00FA4FCF" w:rsidRPr="00FA4FCF">
        <w:rPr>
          <w:color w:val="auto"/>
        </w:rPr>
        <w:t>annexes 10 and 12</w:t>
      </w:r>
      <w:r w:rsidR="004D6A98">
        <w:t>.</w:t>
      </w:r>
      <w:r w:rsidR="00BB441B">
        <w:t xml:space="preserve">   </w:t>
      </w:r>
    </w:p>
    <w:p w14:paraId="2C13C896" w14:textId="0207EE16" w:rsidR="00DC12A1" w:rsidRDefault="00BB441B" w:rsidP="00114B00">
      <w:pPr>
        <w:pStyle w:val="Heading1"/>
        <w:numPr>
          <w:ilvl w:val="0"/>
          <w:numId w:val="7"/>
        </w:numPr>
        <w:ind w:left="1080" w:hanging="900"/>
      </w:pPr>
      <w:r>
        <w:t xml:space="preserve">Pre-Acceptance Sampling and </w:t>
      </w:r>
      <w:r w:rsidR="00F80921">
        <w:t>T</w:t>
      </w:r>
      <w:r w:rsidR="00D87343">
        <w:t>esting</w:t>
      </w:r>
      <w:r w:rsidR="00F80921">
        <w:t xml:space="preserve"> R</w:t>
      </w:r>
      <w:r>
        <w:t xml:space="preserve">equirements  </w:t>
      </w:r>
    </w:p>
    <w:p w14:paraId="0E02FD15" w14:textId="77777777" w:rsidR="00DC12A1" w:rsidRDefault="00BB441B">
      <w:pPr>
        <w:ind w:left="807"/>
      </w:pPr>
      <w:r>
        <w:t xml:space="preserve">Not applicable for this procurement  </w:t>
      </w:r>
    </w:p>
    <w:p w14:paraId="23B3D942" w14:textId="58F7C5C7" w:rsidR="00DC12A1" w:rsidRDefault="00F80921" w:rsidP="00114B00">
      <w:pPr>
        <w:pStyle w:val="Heading1"/>
        <w:numPr>
          <w:ilvl w:val="0"/>
          <w:numId w:val="7"/>
        </w:numPr>
        <w:ind w:left="1080" w:hanging="900"/>
      </w:pPr>
      <w:r>
        <w:t>Sampling R</w:t>
      </w:r>
      <w:r w:rsidR="00BB441B">
        <w:t xml:space="preserve">equirements  </w:t>
      </w:r>
    </w:p>
    <w:p w14:paraId="13AC573C" w14:textId="77777777" w:rsidR="00B60B24" w:rsidRDefault="00B60B24" w:rsidP="00B60B24">
      <w:pPr>
        <w:spacing w:after="7"/>
        <w:ind w:left="807"/>
      </w:pPr>
      <w:r w:rsidRPr="00B60B24">
        <w:t xml:space="preserve">Unless otherwise specified in the Subcontract, each finished pharmaceutical product (FPP) batch delivered to GHSC-PSM shall be pre-shipment sampled by SGS and tested by a designated independent testing laboratory. The vendor shall advise SGS when the complete consignment is ready for sampling and supply SGS with the packing list and manufacturer’s Certificates of Analysis for each batch. SGS will submit the samples to the designated testing laboratory or may request the vendor to do this. The vendor is required to replace the sampled quantity by equal quantity of the same batch, so that the full quantity of FPPs ordered will be shipped.   </w:t>
      </w:r>
    </w:p>
    <w:p w14:paraId="40B037C7" w14:textId="77777777" w:rsidR="00B60B24" w:rsidRDefault="00B60B24" w:rsidP="00B60B24">
      <w:pPr>
        <w:spacing w:after="7"/>
        <w:ind w:left="807"/>
      </w:pPr>
    </w:p>
    <w:p w14:paraId="3847B519" w14:textId="77777777" w:rsidR="00B60B24" w:rsidRDefault="00B60B24" w:rsidP="00B60B24">
      <w:pPr>
        <w:spacing w:after="7"/>
        <w:ind w:left="807"/>
      </w:pPr>
      <w:r w:rsidRPr="00B60B24">
        <w:t xml:space="preserve">In general, the consignment may not be shipped before independent test results show the products to </w:t>
      </w:r>
      <w:proofErr w:type="gramStart"/>
      <w:r w:rsidRPr="00B60B24">
        <w:t>be in compliance</w:t>
      </w:r>
      <w:proofErr w:type="gramEnd"/>
      <w:r w:rsidRPr="00B60B24">
        <w:t xml:space="preserve">. In some cases, GHSC-PSM may determine that products may be shipped prior to receipt of the quality assurance testing results, in reliance on the vendor’s certification that the commodities procured under the subcontract </w:t>
      </w:r>
      <w:proofErr w:type="gramStart"/>
      <w:r w:rsidRPr="00B60B24">
        <w:t>are in compliance with</w:t>
      </w:r>
      <w:proofErr w:type="gramEnd"/>
      <w:r w:rsidRPr="00B60B24">
        <w:t xml:space="preserve"> the required technical specifications. In such case, GHSC-PSM will inform the vendor in writing. If after such written confirmation the consignment is shipped, the vendor accepts all responsibility for shipping costs and the costs of returning the goods if independent test results show non-compliance of goods and goods are deemed out of specification.   </w:t>
      </w:r>
    </w:p>
    <w:p w14:paraId="10935CFB" w14:textId="77777777" w:rsidR="00B60B24" w:rsidRDefault="00B60B24" w:rsidP="00B60B24">
      <w:pPr>
        <w:spacing w:after="7"/>
        <w:ind w:left="807"/>
      </w:pPr>
    </w:p>
    <w:p w14:paraId="766026C1" w14:textId="3AD2F512" w:rsidR="00081DDE" w:rsidRDefault="00005074" w:rsidP="00B60B24">
      <w:pPr>
        <w:spacing w:after="7"/>
        <w:ind w:left="807"/>
      </w:pPr>
      <w:r>
        <w:t>P</w:t>
      </w:r>
      <w:r w:rsidR="00B60B24" w:rsidRPr="00B60B24">
        <w:t>er GMP requirements, vendor</w:t>
      </w:r>
      <w:r>
        <w:t xml:space="preserve">s are </w:t>
      </w:r>
      <w:r w:rsidR="00B60B24" w:rsidRPr="00B60B24">
        <w:t>required to retain reference samples of each batch delivered to GHSC-PSM in its finished primary packing for at least one year after the expiry date.</w:t>
      </w:r>
    </w:p>
    <w:p w14:paraId="03679EE3" w14:textId="77777777" w:rsidR="00005074" w:rsidRDefault="00005074" w:rsidP="00B60B24">
      <w:pPr>
        <w:spacing w:after="7"/>
        <w:ind w:left="807"/>
      </w:pPr>
    </w:p>
    <w:p w14:paraId="1F58ECC4" w14:textId="0EEFF75E" w:rsidR="00B406C3" w:rsidRDefault="00005074" w:rsidP="00005074">
      <w:pPr>
        <w:spacing w:after="7"/>
        <w:ind w:left="807"/>
      </w:pPr>
      <w:r w:rsidRPr="00005074">
        <w:t>The Manufacturer’s chemical and physical test data shall be on record for each batch delivered to GHSC-PSM and shall be available to GHSC-PSM upon request for a length of time equal to five (5) years from the time of acceptance.</w:t>
      </w:r>
    </w:p>
    <w:p w14:paraId="26F1975C" w14:textId="77777777" w:rsidR="00FA4FCF" w:rsidRDefault="00FA4FCF" w:rsidP="00005074">
      <w:pPr>
        <w:spacing w:after="7"/>
        <w:ind w:left="807"/>
      </w:pPr>
    </w:p>
    <w:p w14:paraId="723298C2" w14:textId="51BC0DB3" w:rsidR="00DC12A1" w:rsidRDefault="00F80921" w:rsidP="00114B00">
      <w:pPr>
        <w:pStyle w:val="Heading1"/>
        <w:numPr>
          <w:ilvl w:val="0"/>
          <w:numId w:val="7"/>
        </w:numPr>
        <w:ind w:left="1080" w:hanging="900"/>
      </w:pPr>
      <w:r>
        <w:t>Test M</w:t>
      </w:r>
      <w:r w:rsidR="00BB441B">
        <w:t xml:space="preserve">ethod </w:t>
      </w:r>
    </w:p>
    <w:p w14:paraId="2229DCB0" w14:textId="6929983E" w:rsidR="00DC12A1" w:rsidRDefault="008C2CBF">
      <w:pPr>
        <w:ind w:left="807"/>
      </w:pPr>
      <w:r w:rsidRPr="008C2CBF">
        <w:t xml:space="preserve">Unless otherwise specified in the Subcontract, each FPP batch delivered to GHSC-PSM shall comply with all product specifications and test procedures in effect at the time of subcontract award. Testing will be conducted per the FPP specifications and the test method(s) approved during the marketing authorization approval and/or WHO Prequalification.  If the approved FPP and test method(s) is not a compendial method, the independent laboratory shall perform testing as per manufacturer’s validated in-house method. If method transfer was not yet performed by the independent laboratory, the manufacturer will be required to provide the in-house test method and the FPP. The </w:t>
      </w:r>
      <w:r w:rsidRPr="008C2CBF">
        <w:lastRenderedPageBreak/>
        <w:t>manufacturer will also be requested to provide for method transfer and for each routine test the reference substances required for performing the laboratory tests.</w:t>
      </w:r>
      <w:r w:rsidR="00BB441B">
        <w:t xml:space="preserve">  </w:t>
      </w:r>
    </w:p>
    <w:p w14:paraId="3B0407BB" w14:textId="73902AB4" w:rsidR="00DC12A1" w:rsidRDefault="00F80921" w:rsidP="00114B00">
      <w:pPr>
        <w:pStyle w:val="Heading1"/>
        <w:numPr>
          <w:ilvl w:val="0"/>
          <w:numId w:val="7"/>
        </w:numPr>
        <w:ind w:left="1080" w:hanging="900"/>
      </w:pPr>
      <w:r w:rsidRPr="00EC264A">
        <w:t>Compilation of L</w:t>
      </w:r>
      <w:r w:rsidR="00BB441B" w:rsidRPr="00EC264A">
        <w:t xml:space="preserve">aboratory </w:t>
      </w:r>
      <w:r w:rsidRPr="00EC264A">
        <w:t>T</w:t>
      </w:r>
      <w:r w:rsidR="00BB441B" w:rsidRPr="00EC264A">
        <w:t xml:space="preserve">esting </w:t>
      </w:r>
      <w:r w:rsidRPr="00EC264A">
        <w:t>D</w:t>
      </w:r>
      <w:r w:rsidR="00BB441B" w:rsidRPr="00EC264A">
        <w:t xml:space="preserve">ata </w:t>
      </w:r>
    </w:p>
    <w:p w14:paraId="24A968D4" w14:textId="77777777" w:rsidR="00DC12A1" w:rsidRDefault="00BB441B">
      <w:pPr>
        <w:ind w:left="807"/>
      </w:pPr>
      <w:r>
        <w:t xml:space="preserve">Not applicable for this procurement  </w:t>
      </w:r>
    </w:p>
    <w:p w14:paraId="122742F8" w14:textId="70D17433" w:rsidR="00DC12A1" w:rsidRPr="00F80921" w:rsidRDefault="00F80921" w:rsidP="00114B00">
      <w:pPr>
        <w:pStyle w:val="Heading1"/>
        <w:numPr>
          <w:ilvl w:val="0"/>
          <w:numId w:val="7"/>
        </w:numPr>
        <w:ind w:left="1080" w:hanging="900"/>
      </w:pPr>
      <w:r>
        <w:t>Lot D</w:t>
      </w:r>
      <w:r w:rsidR="00BB441B">
        <w:t xml:space="preserve">isposition </w:t>
      </w:r>
    </w:p>
    <w:p w14:paraId="0740CF2E" w14:textId="77777777" w:rsidR="00DC12A1" w:rsidRDefault="00BB441B">
      <w:pPr>
        <w:ind w:left="807"/>
      </w:pPr>
      <w:r>
        <w:t xml:space="preserve">Not applicable for this procurement  </w:t>
      </w:r>
    </w:p>
    <w:p w14:paraId="5C58DC32" w14:textId="0B06087F" w:rsidR="00DC12A1" w:rsidRDefault="00F80921" w:rsidP="00114B00">
      <w:pPr>
        <w:pStyle w:val="Heading1"/>
        <w:numPr>
          <w:ilvl w:val="0"/>
          <w:numId w:val="7"/>
        </w:numPr>
        <w:ind w:left="1080" w:hanging="900"/>
      </w:pPr>
      <w:r>
        <w:t>Frequency M</w:t>
      </w:r>
      <w:bookmarkStart w:id="0" w:name="_GoBack"/>
      <w:bookmarkEnd w:id="0"/>
      <w:r w:rsidR="00BB441B">
        <w:t xml:space="preserve">onitoring  </w:t>
      </w:r>
    </w:p>
    <w:p w14:paraId="580444C0" w14:textId="77777777" w:rsidR="00DC12A1" w:rsidRDefault="00BB441B">
      <w:pPr>
        <w:ind w:left="807"/>
      </w:pPr>
      <w:r>
        <w:t xml:space="preserve">Unless otherwise specified in the Subcontract, each FPP batch delivered to GHSC-PSM shall be subject to sampling and testing requirements as specified above.    </w:t>
      </w:r>
    </w:p>
    <w:p w14:paraId="36CE6ABE" w14:textId="7BC83047" w:rsidR="00DC12A1" w:rsidRDefault="00F80921" w:rsidP="00114B00">
      <w:pPr>
        <w:pStyle w:val="Heading1"/>
        <w:numPr>
          <w:ilvl w:val="0"/>
          <w:numId w:val="7"/>
        </w:numPr>
        <w:ind w:left="1080" w:hanging="900"/>
      </w:pPr>
      <w:r>
        <w:t>Manufacturer Furnished Inspection D</w:t>
      </w:r>
      <w:r w:rsidR="00BB441B">
        <w:t xml:space="preserve">ata </w:t>
      </w:r>
    </w:p>
    <w:p w14:paraId="27E1D191" w14:textId="77777777" w:rsidR="00DC12A1" w:rsidRDefault="00BB441B">
      <w:pPr>
        <w:ind w:left="807"/>
      </w:pPr>
      <w:r>
        <w:t xml:space="preserve">Not applicable for this procurement  </w:t>
      </w:r>
    </w:p>
    <w:p w14:paraId="1D3179A6" w14:textId="5F4C704C" w:rsidR="00DC12A1" w:rsidRDefault="005C72B9" w:rsidP="00114B00">
      <w:pPr>
        <w:pStyle w:val="Heading1"/>
        <w:numPr>
          <w:ilvl w:val="0"/>
          <w:numId w:val="7"/>
        </w:numPr>
        <w:ind w:left="1080" w:hanging="900"/>
      </w:pPr>
      <w:r>
        <w:t>Post-Acceptance I</w:t>
      </w:r>
      <w:r w:rsidR="00BB441B">
        <w:t xml:space="preserve">nspection  </w:t>
      </w:r>
    </w:p>
    <w:p w14:paraId="0E14A435" w14:textId="77777777" w:rsidR="00DC12A1" w:rsidRDefault="00BB441B">
      <w:pPr>
        <w:ind w:left="807"/>
      </w:pPr>
      <w:r>
        <w:t xml:space="preserve">Not applicable for this procurement  </w:t>
      </w:r>
    </w:p>
    <w:p w14:paraId="48EC42FF" w14:textId="779F9F4E" w:rsidR="00DC12A1" w:rsidRDefault="005C72B9" w:rsidP="00114B00">
      <w:pPr>
        <w:pStyle w:val="Heading1"/>
        <w:numPr>
          <w:ilvl w:val="0"/>
          <w:numId w:val="7"/>
        </w:numPr>
        <w:ind w:left="1080" w:hanging="900"/>
      </w:pPr>
      <w:r>
        <w:t>Product D</w:t>
      </w:r>
      <w:r w:rsidR="00BB441B">
        <w:t xml:space="preserve">ocumentation  </w:t>
      </w:r>
    </w:p>
    <w:p w14:paraId="2AD2FDE4" w14:textId="4BABCD35" w:rsidR="00DC12A1" w:rsidRDefault="00BB441B">
      <w:pPr>
        <w:numPr>
          <w:ilvl w:val="0"/>
          <w:numId w:val="5"/>
        </w:numPr>
        <w:spacing w:after="282"/>
        <w:ind w:hanging="360"/>
      </w:pPr>
      <w:r>
        <w:t>Evidence of compliance with standards indicated in Section II</w:t>
      </w:r>
      <w:r w:rsidR="00081DDE">
        <w:t xml:space="preserve"> </w:t>
      </w:r>
      <w:r>
        <w:t xml:space="preserve">above </w:t>
      </w:r>
    </w:p>
    <w:p w14:paraId="7B62D1B7" w14:textId="18EC5242" w:rsidR="00DC12A1" w:rsidRDefault="00BB441B">
      <w:pPr>
        <w:numPr>
          <w:ilvl w:val="0"/>
          <w:numId w:val="5"/>
        </w:numPr>
        <w:ind w:hanging="360"/>
      </w:pPr>
      <w:r>
        <w:t xml:space="preserve">Recommended storage and transportation conditions acceptable for </w:t>
      </w:r>
      <w:r w:rsidR="00FD189F">
        <w:t xml:space="preserve">the </w:t>
      </w:r>
      <w:r>
        <w:t>climatic zone</w:t>
      </w:r>
      <w:r w:rsidR="00FD189F">
        <w:t xml:space="preserve"> of the country of destination</w:t>
      </w:r>
      <w:r>
        <w:t xml:space="preserve">.  </w:t>
      </w:r>
    </w:p>
    <w:p w14:paraId="19145B09" w14:textId="41C8D457" w:rsidR="00DC12A1" w:rsidRDefault="00BB441B" w:rsidP="00114B00">
      <w:pPr>
        <w:pStyle w:val="Heading1"/>
        <w:numPr>
          <w:ilvl w:val="0"/>
          <w:numId w:val="7"/>
        </w:numPr>
        <w:ind w:left="1080" w:hanging="900"/>
      </w:pPr>
      <w:r>
        <w:t xml:space="preserve">Shelf life  </w:t>
      </w:r>
    </w:p>
    <w:p w14:paraId="2A774BEA" w14:textId="1F3B91BE" w:rsidR="00081DDE" w:rsidRDefault="003D0051">
      <w:pPr>
        <w:spacing w:after="0" w:line="259" w:lineRule="auto"/>
        <w:ind w:left="807"/>
      </w:pPr>
      <w:r w:rsidRPr="003D0051">
        <w:t>All Goods with a shelf life, including all Pharmaceuticals, must be freshly manufactured, and thus have maximum possible shelf life. Goods with a maximum possible shelf life of less than 24 months shall have at least 85% of shelf life remaining when delivered. Goods with a maximum possible shelf life of more than 24 months shall have at least 24 months, or 85%, of shelf life remaining whichever is longer, when delivered. No Goods will be accepted which do not comply with these requirements unless Chemonics has agreed in writing to different requirements, in which case the Goods must strictly comply with those modified requirements.</w:t>
      </w:r>
    </w:p>
    <w:p w14:paraId="4B52F0BA" w14:textId="77777777" w:rsidR="003D0051" w:rsidRDefault="003D0051">
      <w:pPr>
        <w:spacing w:after="0" w:line="259" w:lineRule="auto"/>
        <w:ind w:left="807"/>
        <w:rPr>
          <w:rFonts w:ascii="Cambria" w:eastAsia="Cambria" w:hAnsi="Cambria" w:cs="Cambria"/>
          <w:color w:val="365F91"/>
          <w:sz w:val="32"/>
        </w:rPr>
      </w:pPr>
    </w:p>
    <w:p w14:paraId="228C7C2E" w14:textId="2CB8CD1C" w:rsidR="00DC12A1" w:rsidRDefault="00BB441B" w:rsidP="00114B00">
      <w:pPr>
        <w:pStyle w:val="Heading1"/>
        <w:numPr>
          <w:ilvl w:val="0"/>
          <w:numId w:val="7"/>
        </w:numPr>
        <w:ind w:left="1080" w:hanging="900"/>
      </w:pPr>
      <w:r>
        <w:t xml:space="preserve">Shipping specifications </w:t>
      </w:r>
    </w:p>
    <w:p w14:paraId="0284C190" w14:textId="77777777" w:rsidR="00DC12A1" w:rsidRDefault="00BB441B">
      <w:pPr>
        <w:ind w:left="807"/>
      </w:pPr>
      <w:r>
        <w:t xml:space="preserve">Please provide estimated weight, dimensions and number of pieces. </w:t>
      </w:r>
    </w:p>
    <w:p w14:paraId="3A02646A" w14:textId="689B1D55" w:rsidR="00DC12A1" w:rsidRDefault="00BB441B" w:rsidP="00114B00">
      <w:pPr>
        <w:pStyle w:val="Heading1"/>
        <w:numPr>
          <w:ilvl w:val="0"/>
          <w:numId w:val="7"/>
        </w:numPr>
        <w:ind w:left="1080" w:hanging="900"/>
      </w:pPr>
      <w:r>
        <w:lastRenderedPageBreak/>
        <w:t>Pack</w:t>
      </w:r>
      <w:r w:rsidR="00114B00">
        <w:t>a</w:t>
      </w:r>
      <w:r>
        <w:t xml:space="preserve">ging and Packing  </w:t>
      </w:r>
    </w:p>
    <w:p w14:paraId="0488FA89" w14:textId="77777777" w:rsidR="00F327C7" w:rsidRDefault="00F327C7">
      <w:pPr>
        <w:ind w:left="807"/>
      </w:pPr>
      <w:r w:rsidRPr="00F327C7">
        <w:t>The pharmaceutical product to be supplied under this contract will be packed and protected to prevent damage or deterioration during transportation and storage. The box will be manufactured of a standard heavy-duty material appropriate for the destination countries where high heat and humidity is prevalent, that will withstand export handling and rough treatment, and ensure the safety, efficacy and quality of the product.</w:t>
      </w:r>
    </w:p>
    <w:p w14:paraId="08D30BB5" w14:textId="09C5CE53" w:rsidR="00DC12A1" w:rsidRDefault="00F327C7">
      <w:pPr>
        <w:ind w:left="807"/>
      </w:pPr>
      <w:r w:rsidRPr="00F327C7">
        <w:t>All products, including blisters and inserts, must be bilingual (French/English) or if specified, Portuguese. Other language requirements may be requested on a case by case basis.</w:t>
      </w:r>
      <w:r w:rsidR="00BB441B">
        <w:t xml:space="preserve">  </w:t>
      </w:r>
    </w:p>
    <w:p w14:paraId="2374D707" w14:textId="0967A7C0" w:rsidR="00DC12A1" w:rsidRDefault="00BB441B" w:rsidP="00114B00">
      <w:pPr>
        <w:pStyle w:val="Heading1"/>
        <w:numPr>
          <w:ilvl w:val="0"/>
          <w:numId w:val="7"/>
        </w:numPr>
        <w:ind w:left="1080" w:hanging="900"/>
      </w:pPr>
      <w:r>
        <w:t xml:space="preserve">USAID Marking requirements  </w:t>
      </w:r>
    </w:p>
    <w:p w14:paraId="246A31BA" w14:textId="77777777" w:rsidR="00F327C7" w:rsidRDefault="00F327C7">
      <w:pPr>
        <w:spacing w:after="206"/>
        <w:ind w:left="807"/>
      </w:pPr>
      <w:r w:rsidRPr="00F327C7">
        <w:t>The vendor will be responsible for ensuring that all export shipping packages, whether shipped from the United States or from any other source country, carry the official PMI logo as specified below and “NOT FOR RETAIL SALE” on the tertiary packaging.</w:t>
      </w:r>
    </w:p>
    <w:p w14:paraId="7E62A532" w14:textId="7AAB9B1A" w:rsidR="00DC12A1" w:rsidRDefault="00F327C7">
      <w:pPr>
        <w:spacing w:after="206"/>
        <w:ind w:left="807"/>
      </w:pPr>
      <w:r w:rsidRPr="00F327C7">
        <w:t>Emblems will be affixed by metal plate, decal, stencil, label, tag, or other means, depending upon the type of commodity or export shipping package and the nature of the surface to be marked. The emblem on each export-shipping package will be affixed in a manner which assures that the emblem will remain legible until the package reaches the consignee.  The size of an emblem will vary depending upon the size of the commodity and the size of the package or export-shipping carton. The emblem will, in every case, be large enough to be clearly visible at a reasonable distance.</w:t>
      </w:r>
      <w:r w:rsidR="00BB441B">
        <w:t xml:space="preserve"> </w:t>
      </w:r>
    </w:p>
    <w:p w14:paraId="79CCF669" w14:textId="47160F2F" w:rsidR="00C324F9" w:rsidRDefault="00C324F9">
      <w:pPr>
        <w:spacing w:after="206"/>
        <w:ind w:left="807"/>
      </w:pPr>
      <w:r>
        <w:rPr>
          <w:rFonts w:ascii="Times New Roman" w:eastAsia="Times New Roman" w:hAnsi="Times New Roman" w:cs="Times New Roman"/>
          <w:b/>
        </w:rPr>
        <w:t>PMI Logo:</w:t>
      </w:r>
    </w:p>
    <w:p w14:paraId="7390A3A3" w14:textId="6EE47A10" w:rsidR="00DC12A1" w:rsidRDefault="00BB441B" w:rsidP="00C324F9">
      <w:pPr>
        <w:spacing w:after="213" w:line="259" w:lineRule="auto"/>
        <w:ind w:left="812" w:firstLine="0"/>
      </w:pPr>
      <w:r>
        <w:t xml:space="preserve"> </w:t>
      </w:r>
      <w:r w:rsidR="007A580B">
        <w:rPr>
          <w:noProof/>
        </w:rPr>
        <w:drawing>
          <wp:inline distT="0" distB="0" distL="0" distR="0" wp14:anchorId="676CCAC6" wp14:editId="53ABEC6A">
            <wp:extent cx="4257927" cy="136734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5563" cy="1389061"/>
                    </a:xfrm>
                    <a:prstGeom prst="rect">
                      <a:avLst/>
                    </a:prstGeom>
                    <a:noFill/>
                    <a:ln>
                      <a:noFill/>
                    </a:ln>
                  </pic:spPr>
                </pic:pic>
              </a:graphicData>
            </a:graphic>
          </wp:inline>
        </w:drawing>
      </w:r>
    </w:p>
    <w:p w14:paraId="23D0DC67" w14:textId="19027B06" w:rsidR="00DC12A1" w:rsidRDefault="00BB441B" w:rsidP="005F695A">
      <w:pPr>
        <w:spacing w:after="215" w:line="259" w:lineRule="auto"/>
        <w:ind w:left="812" w:firstLine="0"/>
      </w:pPr>
      <w:r>
        <w:t xml:space="preserve">Emblems will be obtained by the Manufacturer(s) at its expense in the quantity and type required. The Manufacturer(s) will be required to affix PMI emblems in accordance with the marking requirements stated above. </w:t>
      </w:r>
    </w:p>
    <w:p w14:paraId="1EA41677" w14:textId="2B3A275F" w:rsidR="00DC12A1" w:rsidRDefault="00BB441B" w:rsidP="00114B00">
      <w:pPr>
        <w:pStyle w:val="Heading1"/>
        <w:numPr>
          <w:ilvl w:val="0"/>
          <w:numId w:val="7"/>
        </w:numPr>
        <w:ind w:left="1080" w:hanging="900"/>
      </w:pPr>
      <w:r>
        <w:t xml:space="preserve">Innovation  </w:t>
      </w:r>
    </w:p>
    <w:p w14:paraId="17FE8BCE" w14:textId="77777777" w:rsidR="00DC12A1" w:rsidRDefault="00BB441B">
      <w:pPr>
        <w:numPr>
          <w:ilvl w:val="0"/>
          <w:numId w:val="6"/>
        </w:numPr>
        <w:spacing w:after="0" w:line="259" w:lineRule="auto"/>
        <w:ind w:hanging="360"/>
      </w:pPr>
      <w:r>
        <w:rPr>
          <w:rFonts w:ascii="Cambria" w:eastAsia="Cambria" w:hAnsi="Cambria" w:cs="Cambria"/>
          <w:color w:val="365F91"/>
          <w:sz w:val="32"/>
        </w:rPr>
        <w:t xml:space="preserve">Bar coding </w:t>
      </w:r>
    </w:p>
    <w:p w14:paraId="1B4616A2" w14:textId="3EB54725" w:rsidR="00DC12A1" w:rsidRDefault="00BB5F48">
      <w:r>
        <w:t xml:space="preserve">Based on standards listed in Draft IDIQ. </w:t>
      </w:r>
    </w:p>
    <w:p w14:paraId="6ADF128D" w14:textId="77777777" w:rsidR="00DC12A1" w:rsidRDefault="00BB441B">
      <w:pPr>
        <w:numPr>
          <w:ilvl w:val="0"/>
          <w:numId w:val="6"/>
        </w:numPr>
        <w:spacing w:after="0" w:line="259" w:lineRule="auto"/>
        <w:ind w:hanging="360"/>
      </w:pPr>
      <w:r>
        <w:rPr>
          <w:rFonts w:ascii="Cambria" w:eastAsia="Cambria" w:hAnsi="Cambria" w:cs="Cambria"/>
          <w:color w:val="365F91"/>
          <w:sz w:val="32"/>
        </w:rPr>
        <w:t xml:space="preserve">EDI (Electronic Data Interchange)  </w:t>
      </w:r>
    </w:p>
    <w:p w14:paraId="250D0407" w14:textId="7C833729" w:rsidR="00DC12A1" w:rsidRDefault="00BB441B" w:rsidP="00FA4FCF">
      <w:pPr>
        <w:spacing w:after="345"/>
      </w:pPr>
      <w:r>
        <w:t xml:space="preserve">Not applicable for this procurement  </w:t>
      </w:r>
    </w:p>
    <w:sectPr w:rsidR="00DC12A1" w:rsidSect="00A34F2C">
      <w:footerReference w:type="even" r:id="rId13"/>
      <w:footerReference w:type="default" r:id="rId14"/>
      <w:footerReference w:type="first" r:id="rId15"/>
      <w:type w:val="continuous"/>
      <w:pgSz w:w="11906" w:h="16838" w:code="9"/>
      <w:pgMar w:top="1483" w:right="1829" w:bottom="1123" w:left="99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55D93" w14:textId="77777777" w:rsidR="001507B7" w:rsidRDefault="001507B7">
      <w:pPr>
        <w:spacing w:after="0" w:line="240" w:lineRule="auto"/>
      </w:pPr>
      <w:r>
        <w:separator/>
      </w:r>
    </w:p>
  </w:endnote>
  <w:endnote w:type="continuationSeparator" w:id="0">
    <w:p w14:paraId="2E6B3334" w14:textId="77777777" w:rsidR="001507B7" w:rsidRDefault="001507B7">
      <w:pPr>
        <w:spacing w:after="0" w:line="240" w:lineRule="auto"/>
      </w:pPr>
      <w:r>
        <w:continuationSeparator/>
      </w:r>
    </w:p>
  </w:endnote>
  <w:endnote w:type="continuationNotice" w:id="1">
    <w:p w14:paraId="2500A00C" w14:textId="77777777" w:rsidR="001507B7" w:rsidRDefault="00150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E286" w14:textId="77777777" w:rsidR="00DC12A1" w:rsidRDefault="00BB441B">
    <w:pPr>
      <w:tabs>
        <w:tab w:val="center" w:pos="859"/>
        <w:tab w:val="center" w:pos="5133"/>
        <w:tab w:val="center" w:pos="9093"/>
      </w:tabs>
      <w:spacing w:after="0" w:line="259" w:lineRule="auto"/>
      <w:ind w:left="0" w:firstLine="0"/>
    </w:pPr>
    <w:r>
      <w:tab/>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rsidR="002C0BB6">
      <w:rPr>
        <w:rFonts w:ascii="Times New Roman" w:eastAsia="Times New Roman" w:hAnsi="Times New Roman" w:cs="Times New Roman"/>
        <w:noProof/>
        <w:sz w:val="18"/>
      </w:rPr>
      <w:fldChar w:fldCharType="begin"/>
    </w:r>
    <w:r w:rsidR="002C0BB6">
      <w:rPr>
        <w:rFonts w:ascii="Times New Roman" w:eastAsia="Times New Roman" w:hAnsi="Times New Roman" w:cs="Times New Roman"/>
        <w:noProof/>
        <w:sz w:val="18"/>
      </w:rPr>
      <w:instrText xml:space="preserve"> NUMPAGES   \* MERGEFORMAT </w:instrText>
    </w:r>
    <w:r w:rsidR="002C0BB6">
      <w:rPr>
        <w:rFonts w:ascii="Times New Roman" w:eastAsia="Times New Roman" w:hAnsi="Times New Roman" w:cs="Times New Roman"/>
        <w:noProof/>
        <w:sz w:val="18"/>
      </w:rPr>
      <w:fldChar w:fldCharType="separate"/>
    </w:r>
    <w:r w:rsidR="00D87343" w:rsidRPr="00D87343">
      <w:rPr>
        <w:rFonts w:ascii="Times New Roman" w:eastAsia="Times New Roman" w:hAnsi="Times New Roman" w:cs="Times New Roman"/>
        <w:noProof/>
        <w:sz w:val="18"/>
      </w:rPr>
      <w:t>8</w:t>
    </w:r>
    <w:r w:rsidR="002C0BB6">
      <w:rPr>
        <w:rFonts w:ascii="Times New Roman" w:eastAsia="Times New Roman" w:hAnsi="Times New Roman" w:cs="Times New Roman"/>
        <w:noProof/>
        <w:sz w:val="18"/>
      </w:rPr>
      <w:fldChar w:fldCharType="end"/>
    </w:r>
    <w:r>
      <w:rPr>
        <w:sz w:val="18"/>
      </w:rPr>
      <w:t xml:space="preserve"> </w:t>
    </w:r>
    <w:r>
      <w:rPr>
        <w:sz w:val="18"/>
      </w:rPr>
      <w:tab/>
      <w:t xml:space="preserve"> </w:t>
    </w:r>
    <w:r>
      <w:rPr>
        <w:sz w:val="18"/>
      </w:rPr>
      <w:tab/>
    </w:r>
    <w:r>
      <w:rPr>
        <w:rFonts w:ascii="Times New Roman" w:eastAsia="Times New Roman" w:hAnsi="Times New Roman" w:cs="Times New Roman"/>
        <w:sz w:val="18"/>
      </w:rPr>
      <w:t xml:space="preserve"> </w:t>
    </w:r>
  </w:p>
  <w:p w14:paraId="0239F0B2" w14:textId="77777777" w:rsidR="00DC12A1" w:rsidRDefault="00BB441B">
    <w:pPr>
      <w:spacing w:after="0" w:line="259" w:lineRule="auto"/>
      <w:ind w:left="452" w:firstLine="0"/>
    </w:pPr>
    <w:r>
      <w:rPr>
        <w:sz w:val="18"/>
      </w:rPr>
      <w:t xml:space="preserve"> </w:t>
    </w:r>
  </w:p>
  <w:p w14:paraId="03D3911E" w14:textId="77777777" w:rsidR="00DC12A1" w:rsidRDefault="00BB441B">
    <w:pPr>
      <w:spacing w:after="0" w:line="259" w:lineRule="auto"/>
      <w:ind w:left="0" w:right="-45" w:firstLine="0"/>
      <w:jc w:val="right"/>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AC4B6" w14:textId="3C1558C8" w:rsidR="00DC12A1" w:rsidRDefault="00BB441B">
    <w:pPr>
      <w:tabs>
        <w:tab w:val="center" w:pos="859"/>
        <w:tab w:val="center" w:pos="5133"/>
        <w:tab w:val="center" w:pos="9093"/>
      </w:tabs>
      <w:spacing w:after="0" w:line="259" w:lineRule="auto"/>
      <w:ind w:left="0" w:firstLine="0"/>
    </w:pPr>
    <w:r>
      <w:tab/>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sidR="00023585" w:rsidRPr="00023585">
      <w:rPr>
        <w:rFonts w:ascii="Times New Roman" w:eastAsia="Times New Roman" w:hAnsi="Times New Roman" w:cs="Times New Roman"/>
        <w:noProof/>
        <w:sz w:val="18"/>
      </w:rPr>
      <w:t>6</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rsidR="002C0BB6">
      <w:rPr>
        <w:rFonts w:ascii="Times New Roman" w:eastAsia="Times New Roman" w:hAnsi="Times New Roman" w:cs="Times New Roman"/>
        <w:noProof/>
        <w:sz w:val="18"/>
      </w:rPr>
      <w:fldChar w:fldCharType="begin"/>
    </w:r>
    <w:r w:rsidR="002C0BB6">
      <w:rPr>
        <w:rFonts w:ascii="Times New Roman" w:eastAsia="Times New Roman" w:hAnsi="Times New Roman" w:cs="Times New Roman"/>
        <w:noProof/>
        <w:sz w:val="18"/>
      </w:rPr>
      <w:instrText xml:space="preserve"> NUMPAGES   \* MERGEFORMAT </w:instrText>
    </w:r>
    <w:r w:rsidR="002C0BB6">
      <w:rPr>
        <w:rFonts w:ascii="Times New Roman" w:eastAsia="Times New Roman" w:hAnsi="Times New Roman" w:cs="Times New Roman"/>
        <w:noProof/>
        <w:sz w:val="18"/>
      </w:rPr>
      <w:fldChar w:fldCharType="separate"/>
    </w:r>
    <w:r w:rsidR="00023585" w:rsidRPr="00023585">
      <w:rPr>
        <w:rFonts w:ascii="Times New Roman" w:eastAsia="Times New Roman" w:hAnsi="Times New Roman" w:cs="Times New Roman"/>
        <w:noProof/>
        <w:sz w:val="18"/>
      </w:rPr>
      <w:t>6</w:t>
    </w:r>
    <w:r w:rsidR="002C0BB6">
      <w:rPr>
        <w:rFonts w:ascii="Times New Roman" w:eastAsia="Times New Roman" w:hAnsi="Times New Roman" w:cs="Times New Roman"/>
        <w:noProof/>
        <w:sz w:val="18"/>
      </w:rPr>
      <w:fldChar w:fldCharType="end"/>
    </w:r>
    <w:r>
      <w:rPr>
        <w:sz w:val="18"/>
      </w:rPr>
      <w:t xml:space="preserve"> </w:t>
    </w:r>
    <w:r>
      <w:rPr>
        <w:sz w:val="18"/>
      </w:rPr>
      <w:tab/>
      <w:t xml:space="preserve"> </w:t>
    </w:r>
    <w:r>
      <w:rPr>
        <w:sz w:val="18"/>
      </w:rPr>
      <w:tab/>
    </w:r>
    <w:r>
      <w:rPr>
        <w:rFonts w:ascii="Times New Roman" w:eastAsia="Times New Roman" w:hAnsi="Times New Roman" w:cs="Times New Roman"/>
        <w:sz w:val="18"/>
      </w:rPr>
      <w:t xml:space="preserve"> </w:t>
    </w:r>
  </w:p>
  <w:p w14:paraId="5DE95B39" w14:textId="77777777" w:rsidR="00DC12A1" w:rsidRDefault="00BB441B">
    <w:pPr>
      <w:spacing w:after="0" w:line="259" w:lineRule="auto"/>
      <w:ind w:left="452" w:firstLine="0"/>
    </w:pPr>
    <w:r>
      <w:rPr>
        <w:sz w:val="18"/>
      </w:rPr>
      <w:t xml:space="preserve"> </w:t>
    </w:r>
  </w:p>
  <w:p w14:paraId="5C5D8321" w14:textId="77777777" w:rsidR="00DC12A1" w:rsidRDefault="00BB441B">
    <w:pPr>
      <w:spacing w:after="0" w:line="259" w:lineRule="auto"/>
      <w:ind w:left="0" w:right="-45" w:firstLine="0"/>
      <w:jc w:val="right"/>
    </w:pP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AB0D" w14:textId="77777777" w:rsidR="00DC12A1" w:rsidRDefault="00DC12A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A3D29" w14:textId="77777777" w:rsidR="001507B7" w:rsidRDefault="001507B7">
      <w:pPr>
        <w:spacing w:after="0" w:line="240" w:lineRule="auto"/>
      </w:pPr>
      <w:r>
        <w:separator/>
      </w:r>
    </w:p>
  </w:footnote>
  <w:footnote w:type="continuationSeparator" w:id="0">
    <w:p w14:paraId="30B178B1" w14:textId="77777777" w:rsidR="001507B7" w:rsidRDefault="001507B7">
      <w:pPr>
        <w:spacing w:after="0" w:line="240" w:lineRule="auto"/>
      </w:pPr>
      <w:r>
        <w:continuationSeparator/>
      </w:r>
    </w:p>
  </w:footnote>
  <w:footnote w:type="continuationNotice" w:id="1">
    <w:p w14:paraId="176A4774" w14:textId="77777777" w:rsidR="001507B7" w:rsidRDefault="001507B7">
      <w:pPr>
        <w:spacing w:after="0" w:line="240" w:lineRule="auto"/>
      </w:pPr>
    </w:p>
  </w:footnote>
  <w:footnote w:id="2">
    <w:p w14:paraId="7FE8C7F6" w14:textId="0E79E5C3" w:rsidR="002F1A6D" w:rsidRDefault="002F1A6D" w:rsidP="002F1A6D">
      <w:pPr>
        <w:spacing w:after="3" w:line="256" w:lineRule="auto"/>
        <w:ind w:left="447"/>
      </w:pPr>
      <w:r>
        <w:rPr>
          <w:rStyle w:val="FootnoteReference"/>
        </w:rPr>
        <w:footnoteRef/>
      </w:r>
      <w:r>
        <w:t xml:space="preserve"> </w:t>
      </w:r>
      <w:r>
        <w:rPr>
          <w:sz w:val="20"/>
        </w:rPr>
        <w:t xml:space="preserve">The following are acceptable SRAs as indicated under ADS 312 from the United States Agency for International Development (USAID) Global Health </w:t>
      </w:r>
      <w:r w:rsidR="00F80921">
        <w:rPr>
          <w:sz w:val="20"/>
        </w:rPr>
        <w:t>Bureau</w:t>
      </w:r>
      <w:r>
        <w:rPr>
          <w:sz w:val="20"/>
        </w:rPr>
        <w:t xml:space="preserve">: </w:t>
      </w:r>
    </w:p>
    <w:p w14:paraId="204C29D8" w14:textId="77777777" w:rsidR="002F1A6D" w:rsidRDefault="002F1A6D" w:rsidP="002F1A6D">
      <w:pPr>
        <w:numPr>
          <w:ilvl w:val="0"/>
          <w:numId w:val="2"/>
        </w:numPr>
        <w:spacing w:after="3" w:line="256" w:lineRule="auto"/>
        <w:ind w:hanging="360"/>
      </w:pPr>
      <w:r>
        <w:rPr>
          <w:sz w:val="20"/>
        </w:rPr>
        <w:t xml:space="preserve">Australia’s Therapeutic Goods Administration (TGA) </w:t>
      </w:r>
    </w:p>
    <w:p w14:paraId="24EE1884" w14:textId="77777777" w:rsidR="002F1A6D" w:rsidRDefault="002F1A6D" w:rsidP="002F1A6D">
      <w:pPr>
        <w:numPr>
          <w:ilvl w:val="0"/>
          <w:numId w:val="2"/>
        </w:numPr>
        <w:spacing w:after="3" w:line="256" w:lineRule="auto"/>
        <w:ind w:hanging="360"/>
      </w:pPr>
      <w:r>
        <w:rPr>
          <w:sz w:val="20"/>
        </w:rPr>
        <w:t xml:space="preserve">European Medicines Agency (EMA) </w:t>
      </w:r>
    </w:p>
    <w:p w14:paraId="5D2F39A5" w14:textId="0373DB0F" w:rsidR="002F1A6D" w:rsidRDefault="002F1A6D" w:rsidP="002F1A6D">
      <w:pPr>
        <w:numPr>
          <w:ilvl w:val="0"/>
          <w:numId w:val="2"/>
        </w:numPr>
        <w:spacing w:after="3" w:line="256" w:lineRule="auto"/>
        <w:ind w:hanging="360"/>
      </w:pPr>
      <w:r>
        <w:rPr>
          <w:sz w:val="20"/>
        </w:rPr>
        <w:t xml:space="preserve">Health Canada </w:t>
      </w:r>
    </w:p>
    <w:p w14:paraId="77C369E5" w14:textId="77777777" w:rsidR="002F1A6D" w:rsidRDefault="002F1A6D" w:rsidP="002F1A6D">
      <w:pPr>
        <w:numPr>
          <w:ilvl w:val="0"/>
          <w:numId w:val="2"/>
        </w:numPr>
        <w:spacing w:after="3" w:line="256" w:lineRule="auto"/>
        <w:ind w:hanging="360"/>
      </w:pPr>
      <w:r>
        <w:rPr>
          <w:sz w:val="20"/>
        </w:rPr>
        <w:t xml:space="preserve">Japanese Ministry of Health, Labor, and Welfare </w:t>
      </w:r>
    </w:p>
    <w:p w14:paraId="1EC2792B" w14:textId="77777777" w:rsidR="002F1A6D" w:rsidRDefault="002F1A6D" w:rsidP="002F1A6D">
      <w:pPr>
        <w:numPr>
          <w:ilvl w:val="0"/>
          <w:numId w:val="2"/>
        </w:numPr>
        <w:spacing w:after="3" w:line="256" w:lineRule="auto"/>
        <w:ind w:hanging="360"/>
      </w:pPr>
      <w:r>
        <w:rPr>
          <w:sz w:val="20"/>
        </w:rPr>
        <w:t xml:space="preserve">Swiss Medic for the European Free Trade Area (EFTA) </w:t>
      </w:r>
    </w:p>
    <w:p w14:paraId="25AF2D95" w14:textId="77777777" w:rsidR="002F1A6D" w:rsidRDefault="002F1A6D" w:rsidP="002F1A6D">
      <w:pPr>
        <w:numPr>
          <w:ilvl w:val="0"/>
          <w:numId w:val="2"/>
        </w:numPr>
        <w:spacing w:after="3" w:line="256" w:lineRule="auto"/>
        <w:ind w:hanging="360"/>
      </w:pPr>
      <w:r>
        <w:rPr>
          <w:sz w:val="20"/>
        </w:rPr>
        <w:t xml:space="preserve">United States Food and Drug Administration (FDA) </w:t>
      </w:r>
    </w:p>
    <w:p w14:paraId="4C746121" w14:textId="77777777" w:rsidR="002F1A6D" w:rsidRDefault="002F1A6D" w:rsidP="002F1A6D">
      <w:pPr>
        <w:numPr>
          <w:ilvl w:val="0"/>
          <w:numId w:val="2"/>
        </w:numPr>
        <w:spacing w:after="3" w:line="256" w:lineRule="auto"/>
        <w:ind w:hanging="360"/>
      </w:pPr>
      <w:r>
        <w:rPr>
          <w:sz w:val="20"/>
        </w:rPr>
        <w:t xml:space="preserve">European Union member states admitted prior to 1996 (Austria, Belgium, Denmark, Finland, France, </w:t>
      </w:r>
    </w:p>
    <w:p w14:paraId="48EC8AEE" w14:textId="23DCF28C" w:rsidR="002F1A6D" w:rsidRPr="002F1A6D" w:rsidRDefault="002F1A6D" w:rsidP="002F1A6D">
      <w:pPr>
        <w:spacing w:after="0" w:line="259" w:lineRule="auto"/>
        <w:ind w:left="0" w:right="19" w:firstLine="0"/>
        <w:jc w:val="right"/>
        <w:rPr>
          <w:sz w:val="20"/>
        </w:rPr>
      </w:pPr>
      <w:r>
        <w:rPr>
          <w:sz w:val="20"/>
        </w:rPr>
        <w:t xml:space="preserve">Germany, Greece, Ireland, Italy, Luxembourg, Netherlands, Portugal, Spain, Sweden, United Kingdom)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66B91"/>
    <w:multiLevelType w:val="hybridMultilevel"/>
    <w:tmpl w:val="B8702962"/>
    <w:lvl w:ilvl="0" w:tplc="0964C29E">
      <w:start w:val="1"/>
      <w:numFmt w:val="lowerLetter"/>
      <w:lvlText w:val="%1."/>
      <w:lvlJc w:val="left"/>
      <w:pPr>
        <w:ind w:left="1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7C532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64A53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7E79C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ECA68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52CE6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C0B068">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30318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6C664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AF3497"/>
    <w:multiLevelType w:val="hybridMultilevel"/>
    <w:tmpl w:val="6406A69E"/>
    <w:lvl w:ilvl="0" w:tplc="9D101994">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E2998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9CC3F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0C6C6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2FDA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807E0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A0FE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9E01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B250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667F5D"/>
    <w:multiLevelType w:val="hybridMultilevel"/>
    <w:tmpl w:val="C3FAD068"/>
    <w:lvl w:ilvl="0" w:tplc="E276790A">
      <w:start w:val="11"/>
      <w:numFmt w:val="upperRoman"/>
      <w:lvlText w:val="%1."/>
      <w:lvlJc w:val="left"/>
      <w:pPr>
        <w:ind w:left="1517"/>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tplc="F72CF99A">
      <w:start w:val="1"/>
      <w:numFmt w:val="lowerLetter"/>
      <w:lvlText w:val="%2"/>
      <w:lvlJc w:val="left"/>
      <w:pPr>
        <w:ind w:left="10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2" w:tplc="40F8B5B8">
      <w:start w:val="1"/>
      <w:numFmt w:val="lowerRoman"/>
      <w:lvlText w:val="%3"/>
      <w:lvlJc w:val="left"/>
      <w:pPr>
        <w:ind w:left="18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3" w:tplc="EFBA4532">
      <w:start w:val="1"/>
      <w:numFmt w:val="decimal"/>
      <w:lvlText w:val="%4"/>
      <w:lvlJc w:val="left"/>
      <w:pPr>
        <w:ind w:left="25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4" w:tplc="0980EC00">
      <w:start w:val="1"/>
      <w:numFmt w:val="lowerLetter"/>
      <w:lvlText w:val="%5"/>
      <w:lvlJc w:val="left"/>
      <w:pPr>
        <w:ind w:left="324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5" w:tplc="672C68A8">
      <w:start w:val="1"/>
      <w:numFmt w:val="lowerRoman"/>
      <w:lvlText w:val="%6"/>
      <w:lvlJc w:val="left"/>
      <w:pPr>
        <w:ind w:left="396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6" w:tplc="51BC01F4">
      <w:start w:val="1"/>
      <w:numFmt w:val="decimal"/>
      <w:lvlText w:val="%7"/>
      <w:lvlJc w:val="left"/>
      <w:pPr>
        <w:ind w:left="46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7" w:tplc="46DAA814">
      <w:start w:val="1"/>
      <w:numFmt w:val="lowerLetter"/>
      <w:lvlText w:val="%8"/>
      <w:lvlJc w:val="left"/>
      <w:pPr>
        <w:ind w:left="54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8" w:tplc="7FEE4C6A">
      <w:start w:val="1"/>
      <w:numFmt w:val="lowerRoman"/>
      <w:lvlText w:val="%9"/>
      <w:lvlJc w:val="left"/>
      <w:pPr>
        <w:ind w:left="61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abstractNum>
  <w:abstractNum w:abstractNumId="3" w15:restartNumberingAfterBreak="0">
    <w:nsid w:val="39D67454"/>
    <w:multiLevelType w:val="hybridMultilevel"/>
    <w:tmpl w:val="32B25848"/>
    <w:lvl w:ilvl="0" w:tplc="AC221850">
      <w:start w:val="1"/>
      <w:numFmt w:val="upperRoman"/>
      <w:lvlText w:val="%1."/>
      <w:lvlJc w:val="left"/>
      <w:pPr>
        <w:ind w:left="1517" w:hanging="720"/>
      </w:pPr>
      <w:rPr>
        <w:rFonts w:hint="default"/>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4" w15:restartNumberingAfterBreak="0">
    <w:nsid w:val="39FC40C8"/>
    <w:multiLevelType w:val="hybridMultilevel"/>
    <w:tmpl w:val="68502A8E"/>
    <w:lvl w:ilvl="0" w:tplc="2092C364">
      <w:start w:val="6"/>
      <w:numFmt w:val="upperRoman"/>
      <w:lvlText w:val="%1."/>
      <w:lvlJc w:val="left"/>
      <w:pPr>
        <w:ind w:left="1440" w:hanging="720"/>
      </w:pPr>
      <w:rPr>
        <w:rFonts w:ascii="Cambria" w:eastAsia="Cambria" w:hAnsi="Cambria" w:cs="Cambria" w:hint="default"/>
        <w:color w:val="365F91"/>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A91A13"/>
    <w:multiLevelType w:val="hybridMultilevel"/>
    <w:tmpl w:val="EDAECCCE"/>
    <w:lvl w:ilvl="0" w:tplc="7340FA50">
      <w:start w:val="1"/>
      <w:numFmt w:val="upp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0DA74DA">
      <w:start w:val="1"/>
      <w:numFmt w:val="decimal"/>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74BCDC">
      <w:start w:val="1"/>
      <w:numFmt w:val="lowerRoman"/>
      <w:lvlText w:val="%3"/>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24498E">
      <w:start w:val="1"/>
      <w:numFmt w:val="decimal"/>
      <w:lvlText w:val="%4"/>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A027AA">
      <w:start w:val="1"/>
      <w:numFmt w:val="lowerLetter"/>
      <w:lvlText w:val="%5"/>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EE25AE">
      <w:start w:val="1"/>
      <w:numFmt w:val="lowerRoman"/>
      <w:lvlText w:val="%6"/>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26EE00">
      <w:start w:val="1"/>
      <w:numFmt w:val="decimal"/>
      <w:lvlText w:val="%7"/>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3C38A0">
      <w:start w:val="1"/>
      <w:numFmt w:val="lowerLetter"/>
      <w:lvlText w:val="%8"/>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860CBE">
      <w:start w:val="1"/>
      <w:numFmt w:val="lowerRoman"/>
      <w:lvlText w:val="%9"/>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B773D4"/>
    <w:multiLevelType w:val="hybridMultilevel"/>
    <w:tmpl w:val="BF4A0F68"/>
    <w:lvl w:ilvl="0" w:tplc="5D982F0C">
      <w:start w:val="1"/>
      <w:numFmt w:val="lowerLetter"/>
      <w:lvlText w:val="%1."/>
      <w:lvlJc w:val="left"/>
      <w:pPr>
        <w:ind w:left="1892"/>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tplc="4E906278">
      <w:start w:val="1"/>
      <w:numFmt w:val="lowerLetter"/>
      <w:lvlText w:val="%2"/>
      <w:lvlJc w:val="left"/>
      <w:pPr>
        <w:ind w:left="216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2" w:tplc="14BCEDB0">
      <w:start w:val="1"/>
      <w:numFmt w:val="lowerRoman"/>
      <w:lvlText w:val="%3"/>
      <w:lvlJc w:val="left"/>
      <w:pPr>
        <w:ind w:left="28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3" w:tplc="2640AC86">
      <w:start w:val="1"/>
      <w:numFmt w:val="decimal"/>
      <w:lvlText w:val="%4"/>
      <w:lvlJc w:val="left"/>
      <w:pPr>
        <w:ind w:left="36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4" w:tplc="0B065BB8">
      <w:start w:val="1"/>
      <w:numFmt w:val="lowerLetter"/>
      <w:lvlText w:val="%5"/>
      <w:lvlJc w:val="left"/>
      <w:pPr>
        <w:ind w:left="43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5" w:tplc="0F1E56FA">
      <w:start w:val="1"/>
      <w:numFmt w:val="lowerRoman"/>
      <w:lvlText w:val="%6"/>
      <w:lvlJc w:val="left"/>
      <w:pPr>
        <w:ind w:left="504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6" w:tplc="0D9C7032">
      <w:start w:val="1"/>
      <w:numFmt w:val="decimal"/>
      <w:lvlText w:val="%7"/>
      <w:lvlJc w:val="left"/>
      <w:pPr>
        <w:ind w:left="576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7" w:tplc="B7D2A456">
      <w:start w:val="1"/>
      <w:numFmt w:val="lowerLetter"/>
      <w:lvlText w:val="%8"/>
      <w:lvlJc w:val="left"/>
      <w:pPr>
        <w:ind w:left="64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8" w:tplc="E3360ABE">
      <w:start w:val="1"/>
      <w:numFmt w:val="lowerRoman"/>
      <w:lvlText w:val="%9"/>
      <w:lvlJc w:val="left"/>
      <w:pPr>
        <w:ind w:left="72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abstractNum>
  <w:abstractNum w:abstractNumId="7" w15:restartNumberingAfterBreak="0">
    <w:nsid w:val="6AD82ED1"/>
    <w:multiLevelType w:val="hybridMultilevel"/>
    <w:tmpl w:val="8E1EB224"/>
    <w:lvl w:ilvl="0" w:tplc="A6E66AD8">
      <w:start w:val="1"/>
      <w:numFmt w:val="lowerLetter"/>
      <w:lvlText w:val="%1."/>
      <w:lvlJc w:val="left"/>
      <w:pPr>
        <w:ind w:left="1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E475D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D4DB4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F28D9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6AC1E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EE77F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80584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488B0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76D14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C2311D6"/>
    <w:multiLevelType w:val="hybridMultilevel"/>
    <w:tmpl w:val="FE1C26BA"/>
    <w:lvl w:ilvl="0" w:tplc="144C1728">
      <w:start w:val="8"/>
      <w:numFmt w:val="upperRoman"/>
      <w:lvlText w:val="%1."/>
      <w:lvlJc w:val="left"/>
      <w:pPr>
        <w:ind w:left="1527"/>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tplc="A0F2EEC4">
      <w:start w:val="1"/>
      <w:numFmt w:val="lowerLetter"/>
      <w:lvlText w:val="%2"/>
      <w:lvlJc w:val="left"/>
      <w:pPr>
        <w:ind w:left="109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2" w:tplc="6394A048">
      <w:start w:val="1"/>
      <w:numFmt w:val="lowerRoman"/>
      <w:lvlText w:val="%3"/>
      <w:lvlJc w:val="left"/>
      <w:pPr>
        <w:ind w:left="181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3" w:tplc="6F50C89A">
      <w:start w:val="1"/>
      <w:numFmt w:val="decimal"/>
      <w:lvlText w:val="%4"/>
      <w:lvlJc w:val="left"/>
      <w:pPr>
        <w:ind w:left="253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4" w:tplc="36D60876">
      <w:start w:val="1"/>
      <w:numFmt w:val="lowerLetter"/>
      <w:lvlText w:val="%5"/>
      <w:lvlJc w:val="left"/>
      <w:pPr>
        <w:ind w:left="325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5" w:tplc="E58A6F5C">
      <w:start w:val="1"/>
      <w:numFmt w:val="lowerRoman"/>
      <w:lvlText w:val="%6"/>
      <w:lvlJc w:val="left"/>
      <w:pPr>
        <w:ind w:left="397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6" w:tplc="9BCC47C2">
      <w:start w:val="1"/>
      <w:numFmt w:val="decimal"/>
      <w:lvlText w:val="%7"/>
      <w:lvlJc w:val="left"/>
      <w:pPr>
        <w:ind w:left="469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7" w:tplc="4642D5C6">
      <w:start w:val="1"/>
      <w:numFmt w:val="lowerLetter"/>
      <w:lvlText w:val="%8"/>
      <w:lvlJc w:val="left"/>
      <w:pPr>
        <w:ind w:left="541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8" w:tplc="A9522AF6">
      <w:start w:val="1"/>
      <w:numFmt w:val="lowerRoman"/>
      <w:lvlText w:val="%9"/>
      <w:lvlJc w:val="left"/>
      <w:pPr>
        <w:ind w:left="613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abstractNum>
  <w:abstractNum w:abstractNumId="9" w15:restartNumberingAfterBreak="0">
    <w:nsid w:val="7CC2680D"/>
    <w:multiLevelType w:val="hybridMultilevel"/>
    <w:tmpl w:val="5D969950"/>
    <w:lvl w:ilvl="0" w:tplc="6D164BE0">
      <w:start w:val="7"/>
      <w:numFmt w:val="upperRoman"/>
      <w:lvlText w:val="%1."/>
      <w:lvlJc w:val="left"/>
      <w:pPr>
        <w:ind w:left="1440" w:hanging="720"/>
      </w:pPr>
      <w:rPr>
        <w:rFonts w:ascii="Cambria" w:eastAsia="Cambria" w:hAnsi="Cambria" w:cs="Cambria" w:hint="default"/>
        <w:color w:val="365F91"/>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8"/>
  </w:num>
  <w:num w:numId="4">
    <w:abstractNumId w:val="2"/>
  </w:num>
  <w:num w:numId="5">
    <w:abstractNumId w:val="7"/>
  </w:num>
  <w:num w:numId="6">
    <w:abstractNumId w:val="6"/>
  </w:num>
  <w:num w:numId="7">
    <w:abstractNumId w:val="3"/>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2A1"/>
    <w:rsid w:val="00005074"/>
    <w:rsid w:val="00013D27"/>
    <w:rsid w:val="00023585"/>
    <w:rsid w:val="00051FA7"/>
    <w:rsid w:val="00081DDE"/>
    <w:rsid w:val="00092906"/>
    <w:rsid w:val="000E0DD4"/>
    <w:rsid w:val="00114B00"/>
    <w:rsid w:val="001507B7"/>
    <w:rsid w:val="001837F5"/>
    <w:rsid w:val="001A11C4"/>
    <w:rsid w:val="001A7892"/>
    <w:rsid w:val="001D0519"/>
    <w:rsid w:val="002367AF"/>
    <w:rsid w:val="002448FF"/>
    <w:rsid w:val="00253B4B"/>
    <w:rsid w:val="002C0BB6"/>
    <w:rsid w:val="002F1A6D"/>
    <w:rsid w:val="00303685"/>
    <w:rsid w:val="00322CFF"/>
    <w:rsid w:val="00344A25"/>
    <w:rsid w:val="00362DC4"/>
    <w:rsid w:val="00365B1F"/>
    <w:rsid w:val="00367DCE"/>
    <w:rsid w:val="003770A8"/>
    <w:rsid w:val="003B6C27"/>
    <w:rsid w:val="003D0051"/>
    <w:rsid w:val="004034DC"/>
    <w:rsid w:val="00414E59"/>
    <w:rsid w:val="00432A16"/>
    <w:rsid w:val="004405A8"/>
    <w:rsid w:val="0044426A"/>
    <w:rsid w:val="00486844"/>
    <w:rsid w:val="004C1F22"/>
    <w:rsid w:val="004D6A98"/>
    <w:rsid w:val="004F7FC3"/>
    <w:rsid w:val="00584D4B"/>
    <w:rsid w:val="005B431F"/>
    <w:rsid w:val="005B5B39"/>
    <w:rsid w:val="005C72B9"/>
    <w:rsid w:val="005C79CD"/>
    <w:rsid w:val="005F695A"/>
    <w:rsid w:val="00657ECE"/>
    <w:rsid w:val="00681305"/>
    <w:rsid w:val="006946AB"/>
    <w:rsid w:val="00696984"/>
    <w:rsid w:val="00701F5A"/>
    <w:rsid w:val="0072293F"/>
    <w:rsid w:val="0073193F"/>
    <w:rsid w:val="00766125"/>
    <w:rsid w:val="007A580B"/>
    <w:rsid w:val="007D12AC"/>
    <w:rsid w:val="00817D5D"/>
    <w:rsid w:val="00867205"/>
    <w:rsid w:val="00870782"/>
    <w:rsid w:val="00873139"/>
    <w:rsid w:val="00885C96"/>
    <w:rsid w:val="008A4798"/>
    <w:rsid w:val="008C1A66"/>
    <w:rsid w:val="008C2CBF"/>
    <w:rsid w:val="008E779A"/>
    <w:rsid w:val="00955551"/>
    <w:rsid w:val="0099165F"/>
    <w:rsid w:val="009963FC"/>
    <w:rsid w:val="009B44D0"/>
    <w:rsid w:val="009C506D"/>
    <w:rsid w:val="009E5922"/>
    <w:rsid w:val="00A02EF8"/>
    <w:rsid w:val="00A34F2C"/>
    <w:rsid w:val="00A40C6E"/>
    <w:rsid w:val="00A441F1"/>
    <w:rsid w:val="00A735E6"/>
    <w:rsid w:val="00AB1AC3"/>
    <w:rsid w:val="00AF7682"/>
    <w:rsid w:val="00B319A9"/>
    <w:rsid w:val="00B406C3"/>
    <w:rsid w:val="00B60B24"/>
    <w:rsid w:val="00BB441B"/>
    <w:rsid w:val="00BB5F48"/>
    <w:rsid w:val="00BC08C0"/>
    <w:rsid w:val="00C324F9"/>
    <w:rsid w:val="00CA5024"/>
    <w:rsid w:val="00CC0A76"/>
    <w:rsid w:val="00CC0EEE"/>
    <w:rsid w:val="00CD1B35"/>
    <w:rsid w:val="00CF73E5"/>
    <w:rsid w:val="00D01D15"/>
    <w:rsid w:val="00D37D15"/>
    <w:rsid w:val="00D653FF"/>
    <w:rsid w:val="00D87343"/>
    <w:rsid w:val="00DC12A1"/>
    <w:rsid w:val="00DE4803"/>
    <w:rsid w:val="00E2790C"/>
    <w:rsid w:val="00E63ECC"/>
    <w:rsid w:val="00EC264A"/>
    <w:rsid w:val="00F27084"/>
    <w:rsid w:val="00F327C7"/>
    <w:rsid w:val="00F4096F"/>
    <w:rsid w:val="00F710DF"/>
    <w:rsid w:val="00F80921"/>
    <w:rsid w:val="00F8396A"/>
    <w:rsid w:val="00F97E57"/>
    <w:rsid w:val="00FA4FCF"/>
    <w:rsid w:val="00FA7FAD"/>
    <w:rsid w:val="00FD189F"/>
    <w:rsid w:val="00FE52E9"/>
    <w:rsid w:val="1313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9553"/>
  <w15:docId w15:val="{FE3BF206-9C69-4911-8006-E814CC03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82" w:line="268" w:lineRule="auto"/>
      <w:ind w:left="154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22" w:hanging="10"/>
      <w:outlineLvl w:val="0"/>
    </w:pPr>
    <w:rPr>
      <w:rFonts w:ascii="Cambria" w:eastAsia="Cambria" w:hAnsi="Cambria" w:cs="Cambria"/>
      <w:color w:val="36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365F91"/>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F7FC3"/>
    <w:pPr>
      <w:ind w:left="720"/>
      <w:contextualSpacing/>
    </w:pPr>
  </w:style>
  <w:style w:type="character" w:styleId="Hyperlink">
    <w:name w:val="Hyperlink"/>
    <w:basedOn w:val="DefaultParagraphFont"/>
    <w:uiPriority w:val="99"/>
    <w:unhideWhenUsed/>
    <w:rsid w:val="00701F5A"/>
    <w:rPr>
      <w:color w:val="0000FF"/>
      <w:u w:val="single"/>
    </w:rPr>
  </w:style>
  <w:style w:type="paragraph" w:styleId="FootnoteText">
    <w:name w:val="footnote text"/>
    <w:basedOn w:val="Normal"/>
    <w:link w:val="FootnoteTextChar"/>
    <w:autoRedefine/>
    <w:semiHidden/>
    <w:rsid w:val="00701F5A"/>
    <w:pPr>
      <w:tabs>
        <w:tab w:val="left" w:pos="215"/>
      </w:tabs>
      <w:suppressAutoHyphens/>
      <w:spacing w:after="0" w:line="240" w:lineRule="auto"/>
      <w:ind w:left="0" w:firstLine="0"/>
    </w:pPr>
    <w:rPr>
      <w:rFonts w:asciiTheme="minorHAnsi" w:eastAsia="Times New Roman" w:hAnsiTheme="minorHAnsi" w:cstheme="minorHAnsi"/>
      <w:color w:val="auto"/>
      <w:sz w:val="20"/>
      <w:szCs w:val="20"/>
    </w:rPr>
  </w:style>
  <w:style w:type="character" w:customStyle="1" w:styleId="FootnoteTextChar">
    <w:name w:val="Footnote Text Char"/>
    <w:basedOn w:val="DefaultParagraphFont"/>
    <w:link w:val="FootnoteText"/>
    <w:semiHidden/>
    <w:rsid w:val="00701F5A"/>
    <w:rPr>
      <w:rFonts w:eastAsia="Times New Roman" w:cstheme="minorHAnsi"/>
      <w:sz w:val="20"/>
      <w:szCs w:val="20"/>
    </w:rPr>
  </w:style>
  <w:style w:type="character" w:styleId="FootnoteReference">
    <w:name w:val="footnote reference"/>
    <w:semiHidden/>
    <w:unhideWhenUsed/>
    <w:rsid w:val="00701F5A"/>
    <w:rPr>
      <w:vertAlign w:val="superscript"/>
    </w:rPr>
  </w:style>
  <w:style w:type="character" w:styleId="CommentReference">
    <w:name w:val="annotation reference"/>
    <w:basedOn w:val="DefaultParagraphFont"/>
    <w:uiPriority w:val="99"/>
    <w:semiHidden/>
    <w:unhideWhenUsed/>
    <w:rsid w:val="000E0DD4"/>
    <w:rPr>
      <w:sz w:val="16"/>
      <w:szCs w:val="16"/>
    </w:rPr>
  </w:style>
  <w:style w:type="paragraph" w:styleId="CommentText">
    <w:name w:val="annotation text"/>
    <w:basedOn w:val="Normal"/>
    <w:link w:val="CommentTextChar"/>
    <w:uiPriority w:val="99"/>
    <w:semiHidden/>
    <w:unhideWhenUsed/>
    <w:rsid w:val="000E0DD4"/>
    <w:pPr>
      <w:spacing w:line="240" w:lineRule="auto"/>
    </w:pPr>
    <w:rPr>
      <w:sz w:val="20"/>
      <w:szCs w:val="20"/>
    </w:rPr>
  </w:style>
  <w:style w:type="character" w:customStyle="1" w:styleId="CommentTextChar">
    <w:name w:val="Comment Text Char"/>
    <w:basedOn w:val="DefaultParagraphFont"/>
    <w:link w:val="CommentText"/>
    <w:uiPriority w:val="99"/>
    <w:semiHidden/>
    <w:rsid w:val="000E0DD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E0DD4"/>
    <w:rPr>
      <w:b/>
      <w:bCs/>
    </w:rPr>
  </w:style>
  <w:style w:type="character" w:customStyle="1" w:styleId="CommentSubjectChar">
    <w:name w:val="Comment Subject Char"/>
    <w:basedOn w:val="CommentTextChar"/>
    <w:link w:val="CommentSubject"/>
    <w:uiPriority w:val="99"/>
    <w:semiHidden/>
    <w:rsid w:val="000E0DD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E0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DD4"/>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2F1A6D"/>
    <w:rPr>
      <w:color w:val="954F72" w:themeColor="followedHyperlink"/>
      <w:u w:val="single"/>
    </w:rPr>
  </w:style>
  <w:style w:type="paragraph" w:styleId="Header">
    <w:name w:val="header"/>
    <w:basedOn w:val="Normal"/>
    <w:link w:val="HeaderChar"/>
    <w:uiPriority w:val="99"/>
    <w:unhideWhenUsed/>
    <w:rsid w:val="00051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FA7"/>
    <w:rPr>
      <w:rFonts w:ascii="Calibri" w:eastAsia="Calibri" w:hAnsi="Calibri" w:cs="Calibri"/>
      <w:color w:val="000000"/>
    </w:rPr>
  </w:style>
  <w:style w:type="table" w:customStyle="1" w:styleId="TableGrid0">
    <w:name w:val="Table Grid0"/>
    <w:basedOn w:val="TableNormal"/>
    <w:uiPriority w:val="39"/>
    <w:rsid w:val="00A02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CD1B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B3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344907">
      <w:bodyDiv w:val="1"/>
      <w:marLeft w:val="0"/>
      <w:marRight w:val="0"/>
      <w:marTop w:val="0"/>
      <w:marBottom w:val="0"/>
      <w:divBdr>
        <w:top w:val="none" w:sz="0" w:space="0" w:color="auto"/>
        <w:left w:val="none" w:sz="0" w:space="0" w:color="auto"/>
        <w:bottom w:val="none" w:sz="0" w:space="0" w:color="auto"/>
        <w:right w:val="none" w:sz="0" w:space="0" w:color="auto"/>
      </w:divBdr>
    </w:div>
    <w:div w:id="1244873231">
      <w:bodyDiv w:val="1"/>
      <w:marLeft w:val="0"/>
      <w:marRight w:val="0"/>
      <w:marTop w:val="0"/>
      <w:marBottom w:val="0"/>
      <w:divBdr>
        <w:top w:val="none" w:sz="0" w:space="0" w:color="auto"/>
        <w:left w:val="none" w:sz="0" w:space="0" w:color="auto"/>
        <w:bottom w:val="none" w:sz="0" w:space="0" w:color="auto"/>
        <w:right w:val="none" w:sz="0" w:space="0" w:color="auto"/>
      </w:divBdr>
    </w:div>
    <w:div w:id="1786733543">
      <w:bodyDiv w:val="1"/>
      <w:marLeft w:val="0"/>
      <w:marRight w:val="0"/>
      <w:marTop w:val="0"/>
      <w:marBottom w:val="0"/>
      <w:divBdr>
        <w:top w:val="none" w:sz="0" w:space="0" w:color="auto"/>
        <w:left w:val="none" w:sz="0" w:space="0" w:color="auto"/>
        <w:bottom w:val="none" w:sz="0" w:space="0" w:color="auto"/>
        <w:right w:val="none" w:sz="0" w:space="0" w:color="auto"/>
      </w:divBdr>
    </w:div>
    <w:div w:id="212345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F4AA175BD670D248B8321BAAE398F3D9" ma:contentTypeVersion="18" ma:contentTypeDescription="Project Procurement Logistics" ma:contentTypeScope="" ma:versionID="2f2a67ba0f37eec20dbb0a4e1bc177e4">
  <xsd:schema xmlns:xsd="http://www.w3.org/2001/XMLSchema" xmlns:xs="http://www.w3.org/2001/XMLSchema" xmlns:p="http://schemas.microsoft.com/office/2006/metadata/properties" xmlns:ns2="8d7096d6-fc66-4344-9e3f-2445529a09f6" xmlns:ns3="57cc5d8e-a6f0-45f2-b874-089fafe12884" xmlns:ns4="4b5bbecf-1dbb-4743-9668-9890082026a5" targetNamespace="http://schemas.microsoft.com/office/2006/metadata/properties" ma:root="true" ma:fieldsID="665e449468ff292e654f35a8c68c4ebf" ns2:_="" ns3:_="" ns4:_="">
    <xsd:import namespace="8d7096d6-fc66-4344-9e3f-2445529a09f6"/>
    <xsd:import namespace="57cc5d8e-a6f0-45f2-b874-089fafe12884"/>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084c98-87b3-4653-bae0-44b611c8384c}" ma:internalName="TaxCatchAll" ma:showField="CatchAllData" ma:web="26f8c472-aa60-4296-a5b1-40c280dc751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084c98-87b3-4653-bae0-44b611c8384c}" ma:internalName="TaxCatchAllLabel" ma:readOnly="true" ma:showField="CatchAllDataLabel" ma:web="26f8c472-aa60-4296-a5b1-40c280dc75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cc5d8e-a6f0-45f2-b874-089fafe1288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D5EFC-DF1B-4225-BCDF-8C21803C3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57cc5d8e-a6f0-45f2-b874-089fafe12884"/>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C7B81-6D4E-457C-9E97-3557E5FC4619}">
  <ds:schemaRefs>
    <ds:schemaRef ds:uri="Microsoft.SharePoint.Taxonomy.ContentTypeSync"/>
  </ds:schemaRefs>
</ds:datastoreItem>
</file>

<file path=customXml/itemProps3.xml><?xml version="1.0" encoding="utf-8"?>
<ds:datastoreItem xmlns:ds="http://schemas.openxmlformats.org/officeDocument/2006/customXml" ds:itemID="{10B441D9-807A-40F7-8141-FE5A090B22C0}">
  <ds:schemaRefs>
    <ds:schemaRef ds:uri="http://schemas.microsoft.com/sharepoint/v3/contenttype/forms"/>
  </ds:schemaRefs>
</ds:datastoreItem>
</file>

<file path=customXml/itemProps4.xml><?xml version="1.0" encoding="utf-8"?>
<ds:datastoreItem xmlns:ds="http://schemas.openxmlformats.org/officeDocument/2006/customXml" ds:itemID="{1CFF56C7-1AF1-43F0-BE46-7A69ECE4189E}">
  <ds:schemaRefs>
    <ds:schemaRef ds:uri="http://schemas.microsoft.com/office/2006/metadata/properties"/>
    <ds:schemaRef ds:uri="http://schemas.microsoft.com/office/infopath/2007/PartnerControls"/>
    <ds:schemaRef ds:uri="8d7096d6-fc66-4344-9e3f-2445529a09f6"/>
  </ds:schemaRefs>
</ds:datastoreItem>
</file>

<file path=customXml/itemProps5.xml><?xml version="1.0" encoding="utf-8"?>
<ds:datastoreItem xmlns:ds="http://schemas.openxmlformats.org/officeDocument/2006/customXml" ds:itemID="{1A59DE48-F84B-441E-BD8B-E0035DE5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1915</Words>
  <Characters>10920</Characters>
  <Application>Microsoft Office Word</Application>
  <DocSecurity>0</DocSecurity>
  <Lines>91</Lines>
  <Paragraphs>25</Paragraphs>
  <ScaleCrop>false</ScaleCrop>
  <Company>Chemonics International, Inc.</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jandersen</dc:creator>
  <cp:keywords/>
  <cp:lastModifiedBy>Matthew Rando</cp:lastModifiedBy>
  <cp:revision>8</cp:revision>
  <dcterms:created xsi:type="dcterms:W3CDTF">2019-03-14T15:53:00Z</dcterms:created>
  <dcterms:modified xsi:type="dcterms:W3CDTF">2019-03-19T17:53:00Z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0x0101008DA58B5CA681664FAB24816C56F410850500F4AA175BD670D248B8321BAAE398F3D9</vt:lpwstr>
  </property>
  <property fmtid="{D5CDD505-2E9C-101B-9397-08002B2CF9AE}" pid="3" name="Project Document Type">
    <vt:lpwstr/>
  </property>
  <property fmtid="{D5CDD505-2E9C-101B-9397-08002B2CF9AE}" pid="4" name="AuthorIds_UIVersion_2048">
    <vt:lpwstr>823</vt:lpwstr>
  </property>
  <property fmtid="{D5CDD505-2E9C-101B-9397-08002B2CF9AE}" pid="5" name="AuthorIds_UIVersion_1536">
    <vt:lpwstr>823</vt:lpwstr>
  </property>
</Properties>
</file>